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D4E6A" w14:textId="77777777" w:rsidR="00580E34" w:rsidRPr="00580E34" w:rsidRDefault="00580E34" w:rsidP="00580E34">
      <w:pPr>
        <w:jc w:val="both"/>
        <w:rPr>
          <w:b/>
          <w:bCs/>
          <w:sz w:val="24"/>
          <w:szCs w:val="24"/>
          <w:lang w:val="sv-SE"/>
        </w:rPr>
      </w:pPr>
      <w:r w:rsidRPr="00580E34">
        <w:rPr>
          <w:b/>
          <w:bCs/>
          <w:sz w:val="24"/>
          <w:szCs w:val="24"/>
          <w:lang w:val="sv-SE"/>
        </w:rPr>
        <w:t>Judul : ANALISIS AKUNTANSI LINGKUNGAN, SUSTAINABILITY REPORT DAN STRUKTUR MODAL TERHADAP KINERJA KEUANGAN PERUSAHAAN</w:t>
      </w:r>
    </w:p>
    <w:p w14:paraId="37060C81" w14:textId="77777777" w:rsidR="00580E34" w:rsidRPr="00580E34" w:rsidRDefault="00580E34" w:rsidP="00580E34">
      <w:pPr>
        <w:rPr>
          <w:sz w:val="24"/>
          <w:szCs w:val="24"/>
          <w:lang w:val="sv-SE"/>
        </w:rPr>
      </w:pPr>
      <w:r w:rsidRPr="00580E34">
        <w:rPr>
          <w:sz w:val="24"/>
          <w:szCs w:val="24"/>
          <w:lang w:val="sv-SE"/>
        </w:rPr>
        <w:t>X1 = akuntansi lingkungan</w:t>
      </w:r>
    </w:p>
    <w:p w14:paraId="7E1A7C16" w14:textId="77777777" w:rsidR="00580E34" w:rsidRPr="00580E34" w:rsidRDefault="00580E34" w:rsidP="00580E34">
      <w:pPr>
        <w:rPr>
          <w:sz w:val="24"/>
          <w:szCs w:val="24"/>
          <w:lang w:val="sv-SE"/>
        </w:rPr>
      </w:pPr>
      <w:r w:rsidRPr="00580E34">
        <w:rPr>
          <w:sz w:val="24"/>
          <w:szCs w:val="24"/>
          <w:lang w:val="sv-SE"/>
        </w:rPr>
        <w:t>X2 = sustainabilty report</w:t>
      </w:r>
    </w:p>
    <w:p w14:paraId="59176648" w14:textId="77777777" w:rsidR="00580E34" w:rsidRPr="00580E34" w:rsidRDefault="00580E34" w:rsidP="00580E34">
      <w:pPr>
        <w:rPr>
          <w:sz w:val="24"/>
          <w:szCs w:val="24"/>
          <w:lang w:val="sv-SE"/>
        </w:rPr>
      </w:pPr>
      <w:r w:rsidRPr="00580E34">
        <w:rPr>
          <w:sz w:val="24"/>
          <w:szCs w:val="24"/>
          <w:lang w:val="sv-SE"/>
        </w:rPr>
        <w:t>X3 = Struktur modal</w:t>
      </w:r>
    </w:p>
    <w:p w14:paraId="71BBAF98" w14:textId="77777777" w:rsidR="00580E34" w:rsidRPr="00580E34" w:rsidRDefault="00580E34" w:rsidP="00580E34">
      <w:pPr>
        <w:rPr>
          <w:sz w:val="24"/>
          <w:szCs w:val="24"/>
          <w:lang w:val="sv-SE"/>
        </w:rPr>
      </w:pPr>
      <w:r w:rsidRPr="00580E34">
        <w:rPr>
          <w:sz w:val="24"/>
          <w:szCs w:val="24"/>
          <w:lang w:val="sv-SE"/>
        </w:rPr>
        <w:t>Y = Kinerja keuangan</w:t>
      </w:r>
    </w:p>
    <w:p w14:paraId="5FD9A49F" w14:textId="77777777" w:rsidR="00580E34" w:rsidRPr="00580E34" w:rsidRDefault="00580E34">
      <w:pPr>
        <w:rPr>
          <w:sz w:val="24"/>
          <w:szCs w:val="24"/>
          <w:lang w:val="sv-S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6"/>
        <w:gridCol w:w="1427"/>
        <w:gridCol w:w="1619"/>
        <w:gridCol w:w="1671"/>
        <w:gridCol w:w="1429"/>
        <w:gridCol w:w="1670"/>
      </w:tblGrid>
      <w:tr w:rsidR="00580E34" w:rsidRPr="00580E34" w14:paraId="728C1B32" w14:textId="77777777" w:rsidTr="00580E34">
        <w:trPr>
          <w:trHeight w:val="113"/>
        </w:trPr>
        <w:tc>
          <w:tcPr>
            <w:tcW w:w="772" w:type="pct"/>
            <w:shd w:val="clear" w:color="auto" w:fill="auto"/>
            <w:noWrap/>
            <w:vAlign w:val="bottom"/>
            <w:hideMark/>
          </w:tcPr>
          <w:p w14:paraId="3B47C1D7" w14:textId="067FD3E0" w:rsidR="00580E34" w:rsidRPr="00580E34" w:rsidRDefault="00580E34" w:rsidP="00580E34">
            <w:pPr>
              <w:spacing w:after="0" w:line="240" w:lineRule="auto"/>
              <w:jc w:val="center"/>
              <w:rPr>
                <w:rFonts w:eastAsia="Times New Roman"/>
                <w:b/>
                <w:bCs/>
                <w:kern w:val="0"/>
                <w:sz w:val="24"/>
                <w:szCs w:val="24"/>
                <w:lang w:val="sv-SE" w:eastAsia="en-ID"/>
                <w14:ligatures w14:val="none"/>
              </w:rPr>
            </w:pPr>
            <w:r w:rsidRPr="00580E34">
              <w:rPr>
                <w:rFonts w:eastAsia="Times New Roman"/>
                <w:b/>
                <w:bCs/>
                <w:kern w:val="0"/>
                <w:sz w:val="24"/>
                <w:szCs w:val="24"/>
                <w:lang w:val="sv-SE" w:eastAsia="en-ID"/>
                <w14:ligatures w14:val="none"/>
              </w:rPr>
              <w:t>Variabel</w:t>
            </w:r>
          </w:p>
        </w:tc>
        <w:tc>
          <w:tcPr>
            <w:tcW w:w="772" w:type="pct"/>
            <w:shd w:val="clear" w:color="auto" w:fill="auto"/>
            <w:noWrap/>
            <w:vAlign w:val="bottom"/>
            <w:hideMark/>
          </w:tcPr>
          <w:p w14:paraId="4AE415FE" w14:textId="77777777" w:rsidR="00580E34" w:rsidRPr="00580E34" w:rsidRDefault="00580E34" w:rsidP="00580E34">
            <w:pPr>
              <w:spacing w:after="0" w:line="240" w:lineRule="auto"/>
              <w:jc w:val="center"/>
              <w:rPr>
                <w:rFonts w:eastAsia="Times New Roman"/>
                <w:b/>
                <w:bCs/>
                <w:color w:val="000000"/>
                <w:kern w:val="0"/>
                <w:sz w:val="24"/>
                <w:szCs w:val="24"/>
                <w:lang w:val="en-ID" w:eastAsia="en-ID"/>
                <w14:ligatures w14:val="none"/>
              </w:rPr>
            </w:pPr>
            <w:r w:rsidRPr="00580E34">
              <w:rPr>
                <w:rFonts w:eastAsia="Times New Roman"/>
                <w:b/>
                <w:bCs/>
                <w:color w:val="000000"/>
                <w:kern w:val="0"/>
                <w:sz w:val="24"/>
                <w:szCs w:val="24"/>
                <w:lang w:val="en-ID" w:eastAsia="en-ID"/>
                <w14:ligatures w14:val="none"/>
              </w:rPr>
              <w:t>N</w:t>
            </w:r>
          </w:p>
        </w:tc>
        <w:tc>
          <w:tcPr>
            <w:tcW w:w="876" w:type="pct"/>
            <w:shd w:val="clear" w:color="auto" w:fill="auto"/>
            <w:noWrap/>
            <w:vAlign w:val="bottom"/>
            <w:hideMark/>
          </w:tcPr>
          <w:p w14:paraId="2B2C96A7" w14:textId="77777777" w:rsidR="00580E34" w:rsidRPr="00580E34" w:rsidRDefault="00580E34" w:rsidP="00580E34">
            <w:pPr>
              <w:spacing w:after="0" w:line="240" w:lineRule="auto"/>
              <w:jc w:val="center"/>
              <w:rPr>
                <w:rFonts w:eastAsia="Times New Roman"/>
                <w:b/>
                <w:bCs/>
                <w:color w:val="000000"/>
                <w:kern w:val="0"/>
                <w:sz w:val="24"/>
                <w:szCs w:val="24"/>
                <w:lang w:val="en-ID" w:eastAsia="en-ID"/>
                <w14:ligatures w14:val="none"/>
              </w:rPr>
            </w:pPr>
            <w:r w:rsidRPr="00580E34">
              <w:rPr>
                <w:rFonts w:eastAsia="Times New Roman"/>
                <w:b/>
                <w:bCs/>
                <w:color w:val="000000"/>
                <w:kern w:val="0"/>
                <w:sz w:val="24"/>
                <w:szCs w:val="24"/>
                <w:lang w:val="en-ID" w:eastAsia="en-ID"/>
                <w14:ligatures w14:val="none"/>
              </w:rPr>
              <w:t>Minimum</w:t>
            </w:r>
          </w:p>
        </w:tc>
        <w:tc>
          <w:tcPr>
            <w:tcW w:w="904" w:type="pct"/>
            <w:shd w:val="clear" w:color="auto" w:fill="auto"/>
            <w:noWrap/>
            <w:vAlign w:val="bottom"/>
            <w:hideMark/>
          </w:tcPr>
          <w:p w14:paraId="689C554A" w14:textId="77777777" w:rsidR="00580E34" w:rsidRPr="00580E34" w:rsidRDefault="00580E34" w:rsidP="00580E34">
            <w:pPr>
              <w:spacing w:after="0" w:line="240" w:lineRule="auto"/>
              <w:jc w:val="center"/>
              <w:rPr>
                <w:rFonts w:eastAsia="Times New Roman"/>
                <w:b/>
                <w:bCs/>
                <w:color w:val="000000"/>
                <w:kern w:val="0"/>
                <w:sz w:val="24"/>
                <w:szCs w:val="24"/>
                <w:lang w:val="en-ID" w:eastAsia="en-ID"/>
                <w14:ligatures w14:val="none"/>
              </w:rPr>
            </w:pPr>
            <w:r w:rsidRPr="00580E34">
              <w:rPr>
                <w:rFonts w:eastAsia="Times New Roman"/>
                <w:b/>
                <w:bCs/>
                <w:color w:val="000000"/>
                <w:kern w:val="0"/>
                <w:sz w:val="24"/>
                <w:szCs w:val="24"/>
                <w:lang w:val="en-ID" w:eastAsia="en-ID"/>
                <w14:ligatures w14:val="none"/>
              </w:rPr>
              <w:t>Maximum</w:t>
            </w:r>
          </w:p>
        </w:tc>
        <w:tc>
          <w:tcPr>
            <w:tcW w:w="773" w:type="pct"/>
            <w:shd w:val="clear" w:color="auto" w:fill="auto"/>
            <w:noWrap/>
            <w:vAlign w:val="bottom"/>
            <w:hideMark/>
          </w:tcPr>
          <w:p w14:paraId="5080E2CE" w14:textId="77777777" w:rsidR="00580E34" w:rsidRPr="00580E34" w:rsidRDefault="00580E34" w:rsidP="00580E34">
            <w:pPr>
              <w:spacing w:after="0" w:line="240" w:lineRule="auto"/>
              <w:jc w:val="center"/>
              <w:rPr>
                <w:rFonts w:eastAsia="Times New Roman"/>
                <w:b/>
                <w:bCs/>
                <w:color w:val="000000"/>
                <w:kern w:val="0"/>
                <w:sz w:val="24"/>
                <w:szCs w:val="24"/>
                <w:lang w:val="en-ID" w:eastAsia="en-ID"/>
                <w14:ligatures w14:val="none"/>
              </w:rPr>
            </w:pPr>
            <w:r w:rsidRPr="00580E34">
              <w:rPr>
                <w:rFonts w:eastAsia="Times New Roman"/>
                <w:b/>
                <w:bCs/>
                <w:color w:val="000000"/>
                <w:kern w:val="0"/>
                <w:sz w:val="24"/>
                <w:szCs w:val="24"/>
                <w:lang w:val="en-ID" w:eastAsia="en-ID"/>
                <w14:ligatures w14:val="none"/>
              </w:rPr>
              <w:t>Mean</w:t>
            </w:r>
          </w:p>
        </w:tc>
        <w:tc>
          <w:tcPr>
            <w:tcW w:w="903" w:type="pct"/>
            <w:shd w:val="clear" w:color="auto" w:fill="auto"/>
            <w:noWrap/>
            <w:vAlign w:val="bottom"/>
            <w:hideMark/>
          </w:tcPr>
          <w:p w14:paraId="7B89DA64" w14:textId="77777777" w:rsidR="00580E34" w:rsidRPr="00580E34" w:rsidRDefault="00580E34" w:rsidP="00580E34">
            <w:pPr>
              <w:spacing w:after="0" w:line="240" w:lineRule="auto"/>
              <w:jc w:val="center"/>
              <w:rPr>
                <w:rFonts w:eastAsia="Times New Roman"/>
                <w:b/>
                <w:bCs/>
                <w:color w:val="000000"/>
                <w:kern w:val="0"/>
                <w:sz w:val="24"/>
                <w:szCs w:val="24"/>
                <w:lang w:val="en-ID" w:eastAsia="en-ID"/>
                <w14:ligatures w14:val="none"/>
              </w:rPr>
            </w:pPr>
            <w:r w:rsidRPr="00580E34">
              <w:rPr>
                <w:rFonts w:eastAsia="Times New Roman"/>
                <w:b/>
                <w:bCs/>
                <w:color w:val="000000"/>
                <w:kern w:val="0"/>
                <w:sz w:val="24"/>
                <w:szCs w:val="24"/>
                <w:lang w:val="en-ID" w:eastAsia="en-ID"/>
                <w14:ligatures w14:val="none"/>
              </w:rPr>
              <w:t>Std. Deviation</w:t>
            </w:r>
          </w:p>
        </w:tc>
      </w:tr>
      <w:tr w:rsidR="00580E34" w:rsidRPr="00580E34" w14:paraId="701CD083" w14:textId="77777777" w:rsidTr="00580E34">
        <w:trPr>
          <w:trHeight w:val="113"/>
        </w:trPr>
        <w:tc>
          <w:tcPr>
            <w:tcW w:w="772" w:type="pct"/>
            <w:shd w:val="clear" w:color="auto" w:fill="auto"/>
            <w:noWrap/>
            <w:vAlign w:val="bottom"/>
            <w:hideMark/>
          </w:tcPr>
          <w:p w14:paraId="03FC4A86" w14:textId="77777777" w:rsidR="00580E34" w:rsidRPr="00580E34" w:rsidRDefault="00580E34" w:rsidP="00580E34">
            <w:pPr>
              <w:spacing w:after="0" w:line="240" w:lineRule="auto"/>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X1</w:t>
            </w:r>
          </w:p>
        </w:tc>
        <w:tc>
          <w:tcPr>
            <w:tcW w:w="772" w:type="pct"/>
            <w:shd w:val="clear" w:color="auto" w:fill="auto"/>
            <w:noWrap/>
            <w:vAlign w:val="bottom"/>
            <w:hideMark/>
          </w:tcPr>
          <w:p w14:paraId="00C3A5D0"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235</w:t>
            </w:r>
          </w:p>
        </w:tc>
        <w:tc>
          <w:tcPr>
            <w:tcW w:w="876" w:type="pct"/>
            <w:shd w:val="clear" w:color="auto" w:fill="auto"/>
            <w:noWrap/>
            <w:vAlign w:val="bottom"/>
            <w:hideMark/>
          </w:tcPr>
          <w:p w14:paraId="6CBCD9B4"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0</w:t>
            </w:r>
          </w:p>
        </w:tc>
        <w:tc>
          <w:tcPr>
            <w:tcW w:w="904" w:type="pct"/>
            <w:shd w:val="clear" w:color="auto" w:fill="auto"/>
            <w:noWrap/>
            <w:vAlign w:val="bottom"/>
            <w:hideMark/>
          </w:tcPr>
          <w:p w14:paraId="23F8B0A0"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1</w:t>
            </w:r>
          </w:p>
        </w:tc>
        <w:tc>
          <w:tcPr>
            <w:tcW w:w="773" w:type="pct"/>
            <w:shd w:val="clear" w:color="auto" w:fill="auto"/>
            <w:noWrap/>
            <w:vAlign w:val="bottom"/>
            <w:hideMark/>
          </w:tcPr>
          <w:p w14:paraId="169CAE3D"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0.7447</w:t>
            </w:r>
          </w:p>
        </w:tc>
        <w:tc>
          <w:tcPr>
            <w:tcW w:w="903" w:type="pct"/>
            <w:shd w:val="clear" w:color="auto" w:fill="auto"/>
            <w:noWrap/>
            <w:vAlign w:val="bottom"/>
            <w:hideMark/>
          </w:tcPr>
          <w:p w14:paraId="13D511E9"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0.43697</w:t>
            </w:r>
          </w:p>
        </w:tc>
      </w:tr>
      <w:tr w:rsidR="00580E34" w:rsidRPr="00580E34" w14:paraId="22B0903A" w14:textId="77777777" w:rsidTr="00580E34">
        <w:trPr>
          <w:trHeight w:val="113"/>
        </w:trPr>
        <w:tc>
          <w:tcPr>
            <w:tcW w:w="772" w:type="pct"/>
            <w:shd w:val="clear" w:color="auto" w:fill="auto"/>
            <w:noWrap/>
            <w:vAlign w:val="bottom"/>
            <w:hideMark/>
          </w:tcPr>
          <w:p w14:paraId="1C782CA0" w14:textId="77777777" w:rsidR="00580E34" w:rsidRPr="00580E34" w:rsidRDefault="00580E34" w:rsidP="00580E34">
            <w:pPr>
              <w:spacing w:after="0" w:line="240" w:lineRule="auto"/>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X2</w:t>
            </w:r>
          </w:p>
        </w:tc>
        <w:tc>
          <w:tcPr>
            <w:tcW w:w="772" w:type="pct"/>
            <w:shd w:val="clear" w:color="auto" w:fill="auto"/>
            <w:noWrap/>
            <w:vAlign w:val="bottom"/>
            <w:hideMark/>
          </w:tcPr>
          <w:p w14:paraId="4954B37E"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235</w:t>
            </w:r>
          </w:p>
        </w:tc>
        <w:tc>
          <w:tcPr>
            <w:tcW w:w="876" w:type="pct"/>
            <w:shd w:val="clear" w:color="auto" w:fill="auto"/>
            <w:noWrap/>
            <w:vAlign w:val="bottom"/>
            <w:hideMark/>
          </w:tcPr>
          <w:p w14:paraId="5176B98C"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0</w:t>
            </w:r>
          </w:p>
        </w:tc>
        <w:tc>
          <w:tcPr>
            <w:tcW w:w="904" w:type="pct"/>
            <w:shd w:val="clear" w:color="auto" w:fill="auto"/>
            <w:noWrap/>
            <w:vAlign w:val="bottom"/>
            <w:hideMark/>
          </w:tcPr>
          <w:p w14:paraId="52B9025B"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71</w:t>
            </w:r>
          </w:p>
        </w:tc>
        <w:tc>
          <w:tcPr>
            <w:tcW w:w="773" w:type="pct"/>
            <w:shd w:val="clear" w:color="auto" w:fill="auto"/>
            <w:noWrap/>
            <w:vAlign w:val="bottom"/>
            <w:hideMark/>
          </w:tcPr>
          <w:p w14:paraId="1E9C3660"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22.4383</w:t>
            </w:r>
          </w:p>
        </w:tc>
        <w:tc>
          <w:tcPr>
            <w:tcW w:w="903" w:type="pct"/>
            <w:shd w:val="clear" w:color="auto" w:fill="auto"/>
            <w:noWrap/>
            <w:vAlign w:val="bottom"/>
            <w:hideMark/>
          </w:tcPr>
          <w:p w14:paraId="69DEC821"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19.57255</w:t>
            </w:r>
          </w:p>
        </w:tc>
      </w:tr>
      <w:tr w:rsidR="00580E34" w:rsidRPr="00580E34" w14:paraId="245D1BA8" w14:textId="77777777" w:rsidTr="00580E34">
        <w:trPr>
          <w:trHeight w:val="113"/>
        </w:trPr>
        <w:tc>
          <w:tcPr>
            <w:tcW w:w="772" w:type="pct"/>
            <w:shd w:val="clear" w:color="auto" w:fill="auto"/>
            <w:noWrap/>
            <w:vAlign w:val="bottom"/>
            <w:hideMark/>
          </w:tcPr>
          <w:p w14:paraId="6A99CCAC" w14:textId="77777777" w:rsidR="00580E34" w:rsidRPr="00580E34" w:rsidRDefault="00580E34" w:rsidP="00580E34">
            <w:pPr>
              <w:spacing w:after="0" w:line="240" w:lineRule="auto"/>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X3</w:t>
            </w:r>
          </w:p>
        </w:tc>
        <w:tc>
          <w:tcPr>
            <w:tcW w:w="772" w:type="pct"/>
            <w:shd w:val="clear" w:color="auto" w:fill="auto"/>
            <w:noWrap/>
            <w:vAlign w:val="bottom"/>
            <w:hideMark/>
          </w:tcPr>
          <w:p w14:paraId="294DC6E4"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235</w:t>
            </w:r>
          </w:p>
        </w:tc>
        <w:tc>
          <w:tcPr>
            <w:tcW w:w="876" w:type="pct"/>
            <w:shd w:val="clear" w:color="auto" w:fill="auto"/>
            <w:noWrap/>
            <w:vAlign w:val="bottom"/>
            <w:hideMark/>
          </w:tcPr>
          <w:p w14:paraId="27D3DB97"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-19.76</w:t>
            </w:r>
          </w:p>
        </w:tc>
        <w:tc>
          <w:tcPr>
            <w:tcW w:w="904" w:type="pct"/>
            <w:shd w:val="clear" w:color="auto" w:fill="auto"/>
            <w:noWrap/>
            <w:vAlign w:val="bottom"/>
            <w:hideMark/>
          </w:tcPr>
          <w:p w14:paraId="059C03A1"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24.85</w:t>
            </w:r>
          </w:p>
        </w:tc>
        <w:tc>
          <w:tcPr>
            <w:tcW w:w="773" w:type="pct"/>
            <w:shd w:val="clear" w:color="auto" w:fill="auto"/>
            <w:noWrap/>
            <w:vAlign w:val="bottom"/>
            <w:hideMark/>
          </w:tcPr>
          <w:p w14:paraId="4D43EDD0"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1.3253</w:t>
            </w:r>
          </w:p>
        </w:tc>
        <w:tc>
          <w:tcPr>
            <w:tcW w:w="903" w:type="pct"/>
            <w:shd w:val="clear" w:color="auto" w:fill="auto"/>
            <w:noWrap/>
            <w:vAlign w:val="bottom"/>
            <w:hideMark/>
          </w:tcPr>
          <w:p w14:paraId="4207127D"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2.81512</w:t>
            </w:r>
          </w:p>
        </w:tc>
      </w:tr>
      <w:tr w:rsidR="00580E34" w:rsidRPr="00580E34" w14:paraId="4D8E7B3D" w14:textId="77777777" w:rsidTr="00580E34">
        <w:trPr>
          <w:trHeight w:val="113"/>
        </w:trPr>
        <w:tc>
          <w:tcPr>
            <w:tcW w:w="772" w:type="pct"/>
            <w:shd w:val="clear" w:color="auto" w:fill="auto"/>
            <w:noWrap/>
            <w:vAlign w:val="bottom"/>
            <w:hideMark/>
          </w:tcPr>
          <w:p w14:paraId="22FAB222" w14:textId="77777777" w:rsidR="00580E34" w:rsidRPr="00580E34" w:rsidRDefault="00580E34" w:rsidP="00580E34">
            <w:pPr>
              <w:spacing w:after="0" w:line="240" w:lineRule="auto"/>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Y</w:t>
            </w:r>
          </w:p>
        </w:tc>
        <w:tc>
          <w:tcPr>
            <w:tcW w:w="772" w:type="pct"/>
            <w:shd w:val="clear" w:color="auto" w:fill="auto"/>
            <w:noWrap/>
            <w:vAlign w:val="bottom"/>
            <w:hideMark/>
          </w:tcPr>
          <w:p w14:paraId="06907B60"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235</w:t>
            </w:r>
          </w:p>
        </w:tc>
        <w:tc>
          <w:tcPr>
            <w:tcW w:w="876" w:type="pct"/>
            <w:shd w:val="clear" w:color="auto" w:fill="auto"/>
            <w:noWrap/>
            <w:vAlign w:val="bottom"/>
            <w:hideMark/>
          </w:tcPr>
          <w:p w14:paraId="6FD9CE1D"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-0.97</w:t>
            </w:r>
          </w:p>
        </w:tc>
        <w:tc>
          <w:tcPr>
            <w:tcW w:w="904" w:type="pct"/>
            <w:shd w:val="clear" w:color="auto" w:fill="auto"/>
            <w:noWrap/>
            <w:vAlign w:val="bottom"/>
            <w:hideMark/>
          </w:tcPr>
          <w:p w14:paraId="11C5303D"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0.91</w:t>
            </w:r>
          </w:p>
        </w:tc>
        <w:tc>
          <w:tcPr>
            <w:tcW w:w="773" w:type="pct"/>
            <w:shd w:val="clear" w:color="auto" w:fill="auto"/>
            <w:noWrap/>
            <w:vAlign w:val="bottom"/>
            <w:hideMark/>
          </w:tcPr>
          <w:p w14:paraId="54D857D2"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0.0662</w:t>
            </w:r>
          </w:p>
        </w:tc>
        <w:tc>
          <w:tcPr>
            <w:tcW w:w="903" w:type="pct"/>
            <w:shd w:val="clear" w:color="auto" w:fill="auto"/>
            <w:noWrap/>
            <w:vAlign w:val="bottom"/>
            <w:hideMark/>
          </w:tcPr>
          <w:p w14:paraId="0AADEDF5" w14:textId="77777777" w:rsidR="00580E34" w:rsidRPr="00580E34" w:rsidRDefault="00580E34" w:rsidP="00580E34">
            <w:pPr>
              <w:spacing w:after="0" w:line="240" w:lineRule="auto"/>
              <w:jc w:val="center"/>
              <w:rPr>
                <w:rFonts w:eastAsia="Times New Roman"/>
                <w:color w:val="000000"/>
                <w:kern w:val="0"/>
                <w:sz w:val="24"/>
                <w:szCs w:val="24"/>
                <w:lang w:val="en-ID" w:eastAsia="en-ID"/>
                <w14:ligatures w14:val="none"/>
              </w:rPr>
            </w:pPr>
            <w:r w:rsidRPr="00580E34">
              <w:rPr>
                <w:rFonts w:eastAsia="Times New Roman"/>
                <w:color w:val="000000"/>
                <w:kern w:val="0"/>
                <w:sz w:val="24"/>
                <w:szCs w:val="24"/>
                <w:lang w:val="en-ID" w:eastAsia="en-ID"/>
                <w14:ligatures w14:val="none"/>
              </w:rPr>
              <w:t>0.17273</w:t>
            </w:r>
          </w:p>
        </w:tc>
      </w:tr>
    </w:tbl>
    <w:p w14:paraId="30E296DB" w14:textId="77777777" w:rsidR="00580E34" w:rsidRPr="00580E34" w:rsidRDefault="00580E34" w:rsidP="00580E34">
      <w:pPr>
        <w:jc w:val="both"/>
        <w:rPr>
          <w:sz w:val="24"/>
          <w:szCs w:val="24"/>
          <w:lang w:val="sv-SE"/>
        </w:rPr>
      </w:pPr>
      <w:r w:rsidRPr="00580E34">
        <w:rPr>
          <w:sz w:val="24"/>
          <w:szCs w:val="24"/>
          <w:lang w:val="sv-SE"/>
        </w:rPr>
        <w:t>1. Akuntansi Lingkungan (X1)</w:t>
      </w:r>
    </w:p>
    <w:p w14:paraId="56E05E0B" w14:textId="77777777" w:rsidR="00580E34" w:rsidRPr="00580E34" w:rsidRDefault="00580E34" w:rsidP="00580E34">
      <w:pPr>
        <w:jc w:val="both"/>
        <w:rPr>
          <w:sz w:val="24"/>
          <w:szCs w:val="24"/>
          <w:lang w:val="sv-SE"/>
        </w:rPr>
      </w:pPr>
      <w:r w:rsidRPr="00580E34">
        <w:rPr>
          <w:sz w:val="24"/>
          <w:szCs w:val="24"/>
          <w:lang w:val="sv-SE"/>
        </w:rPr>
        <w:t>Variabel akuntansi lingkungan diukur dalam bentuk data dikotomis (dummy), dengan nilai minimum 0 dan maksimum 1. Rata-rata sebesar 0,7447 mengindikasikan bahwa sekitar 74,47% perusahaan dalam sampel menerapkan akuntansi lingkungan, sedangkan sisanya belum menerapkannya. Nilai standar deviasi sebesar 0,43697 menunjukkan tingkat penyebaran data yang rendah, yang wajar untuk variabel biner. Secara umum, ini mencerminkan bahwa mayoritas perusahaan dalam sampel telah memiliki kesadaran dan implementasi terhadap aspek akuntansi lingkungan.</w:t>
      </w:r>
    </w:p>
    <w:p w14:paraId="7884BC9C" w14:textId="77777777" w:rsidR="00580E34" w:rsidRPr="00580E34" w:rsidRDefault="00580E34" w:rsidP="00580E34">
      <w:pPr>
        <w:jc w:val="both"/>
        <w:rPr>
          <w:sz w:val="24"/>
          <w:szCs w:val="24"/>
          <w:lang w:val="sv-SE"/>
        </w:rPr>
      </w:pPr>
      <w:r w:rsidRPr="00580E34">
        <w:rPr>
          <w:sz w:val="24"/>
          <w:szCs w:val="24"/>
          <w:lang w:val="sv-SE"/>
        </w:rPr>
        <w:t>2. Sustainability Report (X2)</w:t>
      </w:r>
    </w:p>
    <w:p w14:paraId="40B17ECF" w14:textId="77777777" w:rsidR="00580E34" w:rsidRPr="00580E34" w:rsidRDefault="00580E34" w:rsidP="00580E34">
      <w:pPr>
        <w:jc w:val="both"/>
        <w:rPr>
          <w:sz w:val="24"/>
          <w:szCs w:val="24"/>
          <w:lang w:val="sv-SE"/>
        </w:rPr>
      </w:pPr>
      <w:r w:rsidRPr="00580E34">
        <w:rPr>
          <w:sz w:val="24"/>
          <w:szCs w:val="24"/>
          <w:lang w:val="sv-SE"/>
        </w:rPr>
        <w:t>Variabel sustainability report memiliki nilai minimum 0 dan maksimum 71, dengan rata-rata sebesar 22,44 dan standar deviasi 19,57. Hal ini menunjukkan adanya keragaman yang tinggi dalam pengungkapan sustainability report antar perusahaan. Rata-rata sebesar 22,44 mengindikasikan bahwa sebagian besar perusahaan mengungkapkan cukup banyak item dalam laporan keberlanjutannya, namun adanya nilai minimum 0 memperlihatkan bahwa masih ada perusahaan yang sama sekali belum melaporkan aspek keberlanjutan. Nilai maksimum yang tinggi (71) menunjukkan bahwa beberapa perusahaan sudah sangat komprehensif dalam pelaporan sustainability-nya.</w:t>
      </w:r>
    </w:p>
    <w:p w14:paraId="745AA629" w14:textId="77777777" w:rsidR="00580E34" w:rsidRPr="00580E34" w:rsidRDefault="00580E34" w:rsidP="00580E34">
      <w:pPr>
        <w:jc w:val="both"/>
        <w:rPr>
          <w:sz w:val="24"/>
          <w:szCs w:val="24"/>
          <w:lang w:val="sv-SE"/>
        </w:rPr>
      </w:pPr>
      <w:r w:rsidRPr="00580E34">
        <w:rPr>
          <w:sz w:val="24"/>
          <w:szCs w:val="24"/>
          <w:lang w:val="sv-SE"/>
        </w:rPr>
        <w:t>3. Struktur Modal (X3)</w:t>
      </w:r>
    </w:p>
    <w:p w14:paraId="676EB828" w14:textId="77777777" w:rsidR="00580E34" w:rsidRPr="00580E34" w:rsidRDefault="00580E34" w:rsidP="00580E34">
      <w:pPr>
        <w:jc w:val="both"/>
        <w:rPr>
          <w:sz w:val="24"/>
          <w:szCs w:val="24"/>
          <w:lang w:val="sv-SE"/>
        </w:rPr>
      </w:pPr>
      <w:r w:rsidRPr="00580E34">
        <w:rPr>
          <w:sz w:val="24"/>
          <w:szCs w:val="24"/>
          <w:lang w:val="sv-SE"/>
        </w:rPr>
        <w:t>Untuk variabel struktur modal, nilai berkisar antara -19,76 hingga 24,85, dengan rata-rata sebesar 1,33 dan standar deviasi 2,82. Rata-rata yang positif menandakan bahwa pada umumnya perusahaan cenderung menggunakan modal sendiri dibanding utang dalam struktur keuangannya. Namun, adanya nilai negatif menunjukkan bahwa terdapat perusahaan-perusahaan dengan struktur modal yang didominasi oleh utang. Nilai standar deviasi yang cukup besar mengindikasikan bahwa struktur modal antar perusahaan sangat bervariasi.</w:t>
      </w:r>
    </w:p>
    <w:p w14:paraId="1D9BD7B6" w14:textId="77777777" w:rsidR="00580E34" w:rsidRPr="00580E34" w:rsidRDefault="00580E34" w:rsidP="00580E34">
      <w:pPr>
        <w:jc w:val="both"/>
        <w:rPr>
          <w:sz w:val="24"/>
          <w:szCs w:val="24"/>
          <w:lang w:val="sv-SE"/>
        </w:rPr>
      </w:pPr>
      <w:r w:rsidRPr="00580E34">
        <w:rPr>
          <w:sz w:val="24"/>
          <w:szCs w:val="24"/>
          <w:lang w:val="sv-SE"/>
        </w:rPr>
        <w:t>4. Kinerja Keuangan (Y)</w:t>
      </w:r>
    </w:p>
    <w:p w14:paraId="66A87579" w14:textId="1E905310" w:rsidR="00F57DE9" w:rsidRPr="00580E34" w:rsidRDefault="00580E34" w:rsidP="00580E34">
      <w:pPr>
        <w:jc w:val="both"/>
        <w:rPr>
          <w:sz w:val="24"/>
          <w:szCs w:val="24"/>
          <w:lang w:val="sv-SE"/>
        </w:rPr>
      </w:pPr>
      <w:r w:rsidRPr="00580E34">
        <w:rPr>
          <w:sz w:val="24"/>
          <w:szCs w:val="24"/>
          <w:lang w:val="sv-SE"/>
        </w:rPr>
        <w:lastRenderedPageBreak/>
        <w:t>Variabel kinerja keuangan, yang diukur dalam bentuk rasio, menunjukkan nilai minimum -0,97 dan maksimum 0,91, dengan rata-rata sebesar 0,0662 dan standar deviasi 0,17273. Rata-rata yang mendekati nol ini mengindikasikan bahwa secara umum kinerja keuangan perusahaan-perusahaan dalam sampel berada pada tingkat yang rendah hingga sedang. Nilai minimum yang cukup rendah (-0,97) mencerminkan adanya perusahaan dengan performa keuangan yang sangat buruk, sementara nilai maksimum yang mendekati 1 menunjukkan bahwa beberapa perusahaan menunjukkan kinerja keuangan yang sangat baik. Tingginya standar deviasi menunjukkan adanya disparitas signifikan dalam kinerja keuangan antar perusahaan.</w:t>
      </w:r>
    </w:p>
    <w:sectPr w:rsidR="00F57DE9" w:rsidRPr="00580E34"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E5538"/>
    <w:rsid w:val="00005E2B"/>
    <w:rsid w:val="000970CA"/>
    <w:rsid w:val="00097DA4"/>
    <w:rsid w:val="000C220F"/>
    <w:rsid w:val="00180220"/>
    <w:rsid w:val="00181AF3"/>
    <w:rsid w:val="001A5CA3"/>
    <w:rsid w:val="00250F61"/>
    <w:rsid w:val="002B6192"/>
    <w:rsid w:val="002E7205"/>
    <w:rsid w:val="003D2E26"/>
    <w:rsid w:val="00416625"/>
    <w:rsid w:val="0043343B"/>
    <w:rsid w:val="00482305"/>
    <w:rsid w:val="004A1566"/>
    <w:rsid w:val="004E1E02"/>
    <w:rsid w:val="00534D3E"/>
    <w:rsid w:val="00580E34"/>
    <w:rsid w:val="005B72BC"/>
    <w:rsid w:val="005F5856"/>
    <w:rsid w:val="0060540E"/>
    <w:rsid w:val="006F3802"/>
    <w:rsid w:val="0070696F"/>
    <w:rsid w:val="00711643"/>
    <w:rsid w:val="00795571"/>
    <w:rsid w:val="007F3A6A"/>
    <w:rsid w:val="008B6DEC"/>
    <w:rsid w:val="00935FF2"/>
    <w:rsid w:val="009D6ED7"/>
    <w:rsid w:val="00AB7003"/>
    <w:rsid w:val="00AC2A8A"/>
    <w:rsid w:val="00AD3E3E"/>
    <w:rsid w:val="00AE5538"/>
    <w:rsid w:val="00B71AE6"/>
    <w:rsid w:val="00BD6E81"/>
    <w:rsid w:val="00C43BE8"/>
    <w:rsid w:val="00C916FA"/>
    <w:rsid w:val="00D13251"/>
    <w:rsid w:val="00D260D5"/>
    <w:rsid w:val="00DA65AC"/>
    <w:rsid w:val="00DB5C91"/>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43ECA"/>
  <w15:chartTrackingRefBased/>
  <w15:docId w15:val="{F76A7AEB-C124-4F44-BA79-F53620A9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AE5538"/>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AE5538"/>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AE553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E553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E553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E553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AE5538"/>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AE5538"/>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AE553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E553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E553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E553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E55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55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5538"/>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553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E553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E5538"/>
    <w:rPr>
      <w:i/>
      <w:iCs/>
      <w:color w:val="404040" w:themeColor="text1" w:themeTint="BF"/>
    </w:rPr>
  </w:style>
  <w:style w:type="paragraph" w:styleId="ListParagraph">
    <w:name w:val="List Paragraph"/>
    <w:basedOn w:val="Normal"/>
    <w:uiPriority w:val="34"/>
    <w:qFormat/>
    <w:rsid w:val="00AE5538"/>
    <w:pPr>
      <w:ind w:left="720"/>
      <w:contextualSpacing/>
    </w:pPr>
  </w:style>
  <w:style w:type="character" w:styleId="IntenseEmphasis">
    <w:name w:val="Intense Emphasis"/>
    <w:basedOn w:val="DefaultParagraphFont"/>
    <w:uiPriority w:val="21"/>
    <w:qFormat/>
    <w:rsid w:val="00AE5538"/>
    <w:rPr>
      <w:i/>
      <w:iCs/>
      <w:color w:val="365F91" w:themeColor="accent1" w:themeShade="BF"/>
    </w:rPr>
  </w:style>
  <w:style w:type="paragraph" w:styleId="IntenseQuote">
    <w:name w:val="Intense Quote"/>
    <w:basedOn w:val="Normal"/>
    <w:next w:val="Normal"/>
    <w:link w:val="IntenseQuoteChar"/>
    <w:uiPriority w:val="30"/>
    <w:qFormat/>
    <w:rsid w:val="00AE5538"/>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AE5538"/>
    <w:rPr>
      <w:i/>
      <w:iCs/>
      <w:color w:val="365F91" w:themeColor="accent1" w:themeShade="BF"/>
    </w:rPr>
  </w:style>
  <w:style w:type="character" w:styleId="IntenseReference">
    <w:name w:val="Intense Reference"/>
    <w:basedOn w:val="DefaultParagraphFont"/>
    <w:uiPriority w:val="32"/>
    <w:qFormat/>
    <w:rsid w:val="00AE5538"/>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6698237">
      <w:bodyDiv w:val="1"/>
      <w:marLeft w:val="0"/>
      <w:marRight w:val="0"/>
      <w:marTop w:val="0"/>
      <w:marBottom w:val="0"/>
      <w:divBdr>
        <w:top w:val="none" w:sz="0" w:space="0" w:color="auto"/>
        <w:left w:val="none" w:sz="0" w:space="0" w:color="auto"/>
        <w:bottom w:val="none" w:sz="0" w:space="0" w:color="auto"/>
        <w:right w:val="none" w:sz="0" w:space="0" w:color="auto"/>
      </w:divBdr>
    </w:div>
    <w:div w:id="541869370">
      <w:bodyDiv w:val="1"/>
      <w:marLeft w:val="0"/>
      <w:marRight w:val="0"/>
      <w:marTop w:val="0"/>
      <w:marBottom w:val="0"/>
      <w:divBdr>
        <w:top w:val="none" w:sz="0" w:space="0" w:color="auto"/>
        <w:left w:val="none" w:sz="0" w:space="0" w:color="auto"/>
        <w:bottom w:val="none" w:sz="0" w:space="0" w:color="auto"/>
        <w:right w:val="none" w:sz="0" w:space="0" w:color="auto"/>
      </w:divBdr>
    </w:div>
    <w:div w:id="197625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427</Words>
  <Characters>2437</Characters>
  <Application>Microsoft Office Word</Application>
  <DocSecurity>0</DocSecurity>
  <Lines>20</Lines>
  <Paragraphs>5</Paragraphs>
  <ScaleCrop>false</ScaleCrop>
  <Company/>
  <LinksUpToDate>false</LinksUpToDate>
  <CharactersWithSpaces>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2</cp:revision>
  <dcterms:created xsi:type="dcterms:W3CDTF">2025-07-07T03:43:00Z</dcterms:created>
  <dcterms:modified xsi:type="dcterms:W3CDTF">2025-07-07T03:49:00Z</dcterms:modified>
</cp:coreProperties>
</file>