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69801" w14:textId="11903860" w:rsidR="001417A3" w:rsidRPr="001417A3" w:rsidRDefault="001417A3">
      <w:pPr>
        <w:rPr>
          <w:b/>
          <w:bCs/>
        </w:rPr>
      </w:pPr>
      <w:r w:rsidRPr="001417A3">
        <w:rPr>
          <w:b/>
          <w:bCs/>
        </w:rPr>
        <w:t>Oral lichen planus</w:t>
      </w:r>
      <w:r>
        <w:rPr>
          <w:b/>
          <w:bCs/>
        </w:rPr>
        <w:t xml:space="preserve"> (Continuous outcome)</w:t>
      </w:r>
    </w:p>
    <w:p w14:paraId="564031FC" w14:textId="00204002" w:rsidR="00F57DE9" w:rsidRDefault="00380088">
      <w:r w:rsidRPr="00380088">
        <w:drawing>
          <wp:inline distT="0" distB="0" distL="0" distR="0" wp14:anchorId="70443363" wp14:editId="63435B47">
            <wp:extent cx="5731510" cy="2157730"/>
            <wp:effectExtent l="0" t="0" r="2540" b="0"/>
            <wp:docPr id="1048691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691243" name=""/>
                    <pic:cNvPicPr/>
                  </pic:nvPicPr>
                  <pic:blipFill>
                    <a:blip r:embed="rId5"/>
                    <a:stretch>
                      <a:fillRect/>
                    </a:stretch>
                  </pic:blipFill>
                  <pic:spPr>
                    <a:xfrm>
                      <a:off x="0" y="0"/>
                      <a:ext cx="5731510" cy="2157730"/>
                    </a:xfrm>
                    <a:prstGeom prst="rect">
                      <a:avLst/>
                    </a:prstGeom>
                  </pic:spPr>
                </pic:pic>
              </a:graphicData>
            </a:graphic>
          </wp:inline>
        </w:drawing>
      </w:r>
    </w:p>
    <w:p w14:paraId="067C72F5" w14:textId="77777777" w:rsidR="00380088" w:rsidRPr="00380088" w:rsidRDefault="00380088" w:rsidP="00380088">
      <w:pPr>
        <w:jc w:val="both"/>
        <w:rPr>
          <w:lang w:val="sv-SE"/>
        </w:rPr>
      </w:pPr>
      <w:r w:rsidRPr="00380088">
        <w:rPr>
          <w:lang w:val="sv-SE"/>
        </w:rPr>
        <w:t>Berdasarkan hasil forest plot RevMan yang disajikan, analisis meta-analisis menunjukkan efektivitas curcumin dalam pengobatan oral lichen planus. Meta-analisis ini melibatkan total 154 subjek dari 4 studi dengan 78 pasien pada kelompok curcumin dan 76 pasien pada kelompok plasebo.</w:t>
      </w:r>
    </w:p>
    <w:p w14:paraId="6F52CA5D" w14:textId="77777777" w:rsidR="00380088" w:rsidRPr="00380088" w:rsidRDefault="00380088" w:rsidP="00380088">
      <w:pPr>
        <w:jc w:val="both"/>
        <w:rPr>
          <w:lang w:val="sv-SE"/>
        </w:rPr>
      </w:pPr>
      <w:r w:rsidRPr="00380088">
        <w:rPr>
          <w:lang w:val="sv-SE"/>
        </w:rPr>
        <w:t>Hasil analisis keseluruhan menunjukkan bahwa curcumin memberikan efek yang signifikan secara statistik dibandingkan plasebo dengan standardized mean difference (SMD) sebesar 0.32 (95% CI: 0.00, 0.65; p = 0.05). Nilai SMD positif ini mengindikasikan bahwa curcumin memberikan perbaikan yang lebih baik dibandingkan plasebo dalam penanganan oral lichen planus, meskipun besaran efeknya tergolong kecil hingga sedang.</w:t>
      </w:r>
    </w:p>
    <w:p w14:paraId="562A35D0" w14:textId="77777777" w:rsidR="00380088" w:rsidRPr="00380088" w:rsidRDefault="00380088" w:rsidP="00380088">
      <w:pPr>
        <w:jc w:val="both"/>
        <w:rPr>
          <w:lang w:val="sv-SE"/>
        </w:rPr>
      </w:pPr>
      <w:r w:rsidRPr="00380088">
        <w:rPr>
          <w:lang w:val="sv-SE"/>
        </w:rPr>
        <w:t>Analisis heterogenitas menunjukkan Chi² = 12.72 dengan df = 3 (p = 0.005) dan I² = 76%, yang mengindikasikan adanya heterogenitas substansial antar studi. Hal ini menunjukkan terdapat variasi yang cukup besar dalam hasil antar studi yang mungkin disebabkan oleh perbedaan dalam karakteristik pasien, formulasi curcumin, dosis, atau durasi pengobatan.</w:t>
      </w:r>
    </w:p>
    <w:p w14:paraId="2C5F5949" w14:textId="77777777" w:rsidR="00380088" w:rsidRPr="00380088" w:rsidRDefault="00380088" w:rsidP="00380088">
      <w:pPr>
        <w:jc w:val="both"/>
        <w:rPr>
          <w:lang w:val="sv-SE"/>
        </w:rPr>
      </w:pPr>
      <w:r w:rsidRPr="00380088">
        <w:rPr>
          <w:lang w:val="sv-SE"/>
        </w:rPr>
        <w:t>Ketika dianalisis berdasarkan subkelompok rute pemberian, terlihat perbedaan yang menarik. Pemberian oral curcumin (2 studi: Kia 2020 dan Amirchagmani 2016) dengan total 41 subjek menunjukkan SMD 0.19 (95% CI: -0.26, 0.64; p = 0.40) yang tidak signifikan secara statistik. Heterogenitas pada subkelompok ini rendah (I² = 0%), menunjukkan konsistensi hasil antar studi.</w:t>
      </w:r>
    </w:p>
    <w:p w14:paraId="60F10E7F" w14:textId="77777777" w:rsidR="00380088" w:rsidRPr="00380088" w:rsidRDefault="00380088" w:rsidP="00380088">
      <w:pPr>
        <w:jc w:val="both"/>
        <w:rPr>
          <w:lang w:val="sv-SE"/>
        </w:rPr>
      </w:pPr>
      <w:r w:rsidRPr="00380088">
        <w:rPr>
          <w:lang w:val="sv-SE"/>
        </w:rPr>
        <w:t>Sebaliknya, pemberian topikal curcumin (2 studi: Thomas 2017 dan Keshari 2015) dengan total 37 subjek menunjukkan SMD 0.47 (95% CI: 0.01, 0.94; p = 0.05) yang signifikan secara marginal. Namun, heterogenitas pada subkelompok topikal sangat tinggi (I² = 92%), menunjukkan adanya variasi yang sangat besar antar studi dalam kelompok ini.</w:t>
      </w:r>
    </w:p>
    <w:p w14:paraId="1AC61B32" w14:textId="77777777" w:rsidR="00380088" w:rsidRPr="00380088" w:rsidRDefault="00380088" w:rsidP="00380088">
      <w:pPr>
        <w:jc w:val="both"/>
        <w:rPr>
          <w:lang w:val="sv-SE"/>
        </w:rPr>
      </w:pPr>
      <w:r w:rsidRPr="00380088">
        <w:rPr>
          <w:lang w:val="sv-SE"/>
        </w:rPr>
        <w:t>Uji perbedaan subkelompok menunjukkan Chi² = 0.68 dengan df = 1 (p = 0.41), yang mengindikasikan tidak ada perbedaan yang signifikan secara statistik antara kedua rute pemberian. Meskipun demikian, secara numerik aplikasi topikal menunjukkan kecenderungan efek yang lebih besar dibandingkan pemberian oral. Hasil ini menunjukkan bahwa meskipun curcumin secara keseluruhan menunjukkan efektivitas dalam penanganan oral lichen planus, rute pemberian topikal mungkin lebih menjanjikan, namun diperlukan penelitian lebih lanjut untuk mengurangi heterogenitas dan memperkuat bukti efektivitasnya.</w:t>
      </w:r>
    </w:p>
    <w:p w14:paraId="576DD921" w14:textId="77777777" w:rsidR="00423DF5" w:rsidRDefault="00423DF5">
      <w:pPr>
        <w:rPr>
          <w:b/>
          <w:bCs/>
          <w:lang w:val="sv-SE"/>
        </w:rPr>
      </w:pPr>
      <w:r>
        <w:rPr>
          <w:b/>
          <w:bCs/>
          <w:lang w:val="sv-SE"/>
        </w:rPr>
        <w:br w:type="page"/>
      </w:r>
    </w:p>
    <w:p w14:paraId="026EC4F0" w14:textId="0BEE7E3E" w:rsidR="00380088" w:rsidRDefault="00380088">
      <w:pPr>
        <w:rPr>
          <w:b/>
          <w:bCs/>
          <w:lang w:val="sv-SE"/>
        </w:rPr>
      </w:pPr>
      <w:r>
        <w:rPr>
          <w:b/>
          <w:bCs/>
          <w:lang w:val="sv-SE"/>
        </w:rPr>
        <w:lastRenderedPageBreak/>
        <w:t>Vitiligo</w:t>
      </w:r>
    </w:p>
    <w:p w14:paraId="34A13E88" w14:textId="04B773A7" w:rsidR="00380088" w:rsidRDefault="00380088">
      <w:pPr>
        <w:rPr>
          <w:b/>
          <w:bCs/>
          <w:lang w:val="sv-SE"/>
        </w:rPr>
      </w:pPr>
      <w:r w:rsidRPr="00380088">
        <w:rPr>
          <w:b/>
          <w:bCs/>
          <w:lang w:val="sv-SE"/>
        </w:rPr>
        <w:drawing>
          <wp:inline distT="0" distB="0" distL="0" distR="0" wp14:anchorId="0CDC8D23" wp14:editId="2066814B">
            <wp:extent cx="5731510" cy="963930"/>
            <wp:effectExtent l="0" t="0" r="2540" b="7620"/>
            <wp:docPr id="66826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26535" name=""/>
                    <pic:cNvPicPr/>
                  </pic:nvPicPr>
                  <pic:blipFill>
                    <a:blip r:embed="rId6"/>
                    <a:stretch>
                      <a:fillRect/>
                    </a:stretch>
                  </pic:blipFill>
                  <pic:spPr>
                    <a:xfrm>
                      <a:off x="0" y="0"/>
                      <a:ext cx="5731510" cy="963930"/>
                    </a:xfrm>
                    <a:prstGeom prst="rect">
                      <a:avLst/>
                    </a:prstGeom>
                  </pic:spPr>
                </pic:pic>
              </a:graphicData>
            </a:graphic>
          </wp:inline>
        </w:drawing>
      </w:r>
    </w:p>
    <w:p w14:paraId="7996B38B" w14:textId="77777777" w:rsidR="00423DF5" w:rsidRPr="00423DF5" w:rsidRDefault="00423DF5" w:rsidP="00423DF5">
      <w:pPr>
        <w:jc w:val="both"/>
        <w:rPr>
          <w:lang w:val="sv-SE"/>
        </w:rPr>
      </w:pPr>
      <w:r w:rsidRPr="00423DF5">
        <w:rPr>
          <w:lang w:val="sv-SE"/>
        </w:rPr>
        <w:t>Berdasarkan hasil forest plot RevMan yang disajikan, analisis meta-analisis menunjukkan efektivitas curcumin dalam pengobatan vitiligo. Meta-analisis ini melibatkan total 58 subjek dari 2 studi (Asawanonda 2010 dan Jalalmanesh 2021) dengan 29 pasien pada kelompok curcumin dan 29 pasien pada kelompok plasebo.</w:t>
      </w:r>
    </w:p>
    <w:p w14:paraId="2572D5A2" w14:textId="77777777" w:rsidR="00423DF5" w:rsidRPr="00423DF5" w:rsidRDefault="00423DF5" w:rsidP="00423DF5">
      <w:pPr>
        <w:jc w:val="both"/>
        <w:rPr>
          <w:lang w:val="sv-SE"/>
        </w:rPr>
      </w:pPr>
      <w:r w:rsidRPr="00423DF5">
        <w:rPr>
          <w:lang w:val="sv-SE"/>
        </w:rPr>
        <w:t>Hasil analisis menunjukkan bahwa curcumin memberikan efek yang tidak signifikan secara statistik dibandingkan plasebo dengan standardized mean difference (SMD) sebesar 0.45 (95% CI: -0.07, 0.98; p = 0.09). Meskipun nilai p tidak mencapai signifikansi statistik (p &gt; 0.05), nilai SMD positif sebesar 0.45 mengindikasikan kecenderungan perbaikan yang lebih baik pada kelompok curcumin dibandingkan plasebo dengan besaran efek yang tergolong sedang.</w:t>
      </w:r>
    </w:p>
    <w:p w14:paraId="417A5E53" w14:textId="77777777" w:rsidR="00423DF5" w:rsidRPr="00423DF5" w:rsidRDefault="00423DF5" w:rsidP="00423DF5">
      <w:pPr>
        <w:jc w:val="both"/>
        <w:rPr>
          <w:lang w:val="sv-SE"/>
        </w:rPr>
      </w:pPr>
      <w:r w:rsidRPr="00423DF5">
        <w:rPr>
          <w:lang w:val="sv-SE"/>
        </w:rPr>
        <w:t>Analisis heterogenitas menunjukkan Chi² = 0.22 dengan df = 1 (p = 0.64) dan I² = 0%, yang mengindikasikan tidak ada heterogenitas antar studi. Hal ini menunjukkan bahwa kedua studi menunjukkan konsistensi hasil yang baik, sehingga hasil pooled dapat diandalkan.</w:t>
      </w:r>
    </w:p>
    <w:p w14:paraId="0E817205" w14:textId="77777777" w:rsidR="00423DF5" w:rsidRPr="00423DF5" w:rsidRDefault="00423DF5" w:rsidP="00423DF5">
      <w:pPr>
        <w:jc w:val="both"/>
        <w:rPr>
          <w:lang w:val="sv-SE"/>
        </w:rPr>
      </w:pPr>
      <w:r w:rsidRPr="00423DF5">
        <w:rPr>
          <w:lang w:val="sv-SE"/>
        </w:rPr>
        <w:t>Secara individual, studi Asawanonda 2010 dengan 10 subjek menunjukkan SMD 0.19 (95% CI: -1.06, 1.43) yang tidak signifikan, sementara studi Jalalmanesh 2021 dengan 48 subjek menunjukkan SMD 0.51 (95% CI: -0.06, 1.09) yang juga tidak signifikan namun dengan kecenderungan efek yang lebih besar. Perbedaan ukuran sampel yang cukup besar antara kedua studi (10 vs 48 subjek) menyebabkan studi Jalalmanesh 2021 memiliki bobot yang lebih besar (82.4%) dalam pooled analysis.</w:t>
      </w:r>
    </w:p>
    <w:p w14:paraId="16FFD175" w14:textId="77777777" w:rsidR="00423DF5" w:rsidRPr="00423DF5" w:rsidRDefault="00423DF5" w:rsidP="00423DF5">
      <w:pPr>
        <w:jc w:val="both"/>
        <w:rPr>
          <w:lang w:val="sv-SE"/>
        </w:rPr>
      </w:pPr>
      <w:r w:rsidRPr="00423DF5">
        <w:rPr>
          <w:lang w:val="sv-SE"/>
        </w:rPr>
        <w:t>Meskipun hasil tidak mencapai signifikansi statistik, confidence interval yang mendekati nol dan nilai p yang relatif rendah (0.09) menunjukkan bahwa dengan penambahan studi yang lebih besar atau dengan desain yang lebih optimal, curcumin mungkin dapat menunjukkan efektivitas yang signifikan dalam pengobatan vitiligo. Hasil ini menunjukkan potensi curcumin sebagai terapi adjuvan untuk vitiligo, namun diperlukan penelitian lebih lanjut dengan sampel yang lebih besar untuk membuktikan efektivitasnya secara definitif.</w:t>
      </w:r>
    </w:p>
    <w:p w14:paraId="086E65D2" w14:textId="77777777" w:rsidR="00423DF5" w:rsidRPr="00423DF5" w:rsidRDefault="00423DF5" w:rsidP="00423DF5">
      <w:pPr>
        <w:jc w:val="both"/>
        <w:rPr>
          <w:lang w:val="sv-SE"/>
        </w:rPr>
      </w:pPr>
    </w:p>
    <w:p w14:paraId="0741A7EB" w14:textId="42B471E8" w:rsidR="001417A3" w:rsidRPr="00380088" w:rsidRDefault="001417A3" w:rsidP="001417A3">
      <w:pPr>
        <w:jc w:val="center"/>
        <w:rPr>
          <w:lang w:val="sv-SE"/>
        </w:rPr>
      </w:pPr>
    </w:p>
    <w:sectPr w:rsidR="001417A3" w:rsidRPr="00380088"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92A4B"/>
    <w:rsid w:val="00005E2B"/>
    <w:rsid w:val="000970CA"/>
    <w:rsid w:val="00097DA4"/>
    <w:rsid w:val="001417A3"/>
    <w:rsid w:val="00180220"/>
    <w:rsid w:val="00181AF3"/>
    <w:rsid w:val="001A5CA3"/>
    <w:rsid w:val="00250F61"/>
    <w:rsid w:val="002B6192"/>
    <w:rsid w:val="002E7205"/>
    <w:rsid w:val="00380088"/>
    <w:rsid w:val="003D2E26"/>
    <w:rsid w:val="00416625"/>
    <w:rsid w:val="00423DF5"/>
    <w:rsid w:val="0043343B"/>
    <w:rsid w:val="00482305"/>
    <w:rsid w:val="004A1566"/>
    <w:rsid w:val="004E1E02"/>
    <w:rsid w:val="00534D3E"/>
    <w:rsid w:val="005B72BC"/>
    <w:rsid w:val="005F5856"/>
    <w:rsid w:val="0060540E"/>
    <w:rsid w:val="006F3802"/>
    <w:rsid w:val="0070696F"/>
    <w:rsid w:val="00711643"/>
    <w:rsid w:val="007820CA"/>
    <w:rsid w:val="00795571"/>
    <w:rsid w:val="007F3A6A"/>
    <w:rsid w:val="008B6DEC"/>
    <w:rsid w:val="00935FF2"/>
    <w:rsid w:val="009D6ED7"/>
    <w:rsid w:val="00AB7003"/>
    <w:rsid w:val="00AC2A8A"/>
    <w:rsid w:val="00AD3E3E"/>
    <w:rsid w:val="00B71AE6"/>
    <w:rsid w:val="00BD6E81"/>
    <w:rsid w:val="00C43BE8"/>
    <w:rsid w:val="00C916FA"/>
    <w:rsid w:val="00C92A4B"/>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29D36"/>
  <w15:chartTrackingRefBased/>
  <w15:docId w15:val="{D4ECEDAB-D791-4072-A5B7-9880E2E6E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C92A4B"/>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C92A4B"/>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C92A4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92A4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92A4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92A4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C92A4B"/>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C92A4B"/>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C92A4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92A4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92A4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92A4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92A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A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A4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A4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92A4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92A4B"/>
    <w:rPr>
      <w:i/>
      <w:iCs/>
      <w:color w:val="404040" w:themeColor="text1" w:themeTint="BF"/>
    </w:rPr>
  </w:style>
  <w:style w:type="paragraph" w:styleId="ListParagraph">
    <w:name w:val="List Paragraph"/>
    <w:basedOn w:val="Normal"/>
    <w:uiPriority w:val="34"/>
    <w:qFormat/>
    <w:rsid w:val="00C92A4B"/>
    <w:pPr>
      <w:ind w:left="720"/>
      <w:contextualSpacing/>
    </w:pPr>
  </w:style>
  <w:style w:type="character" w:styleId="IntenseEmphasis">
    <w:name w:val="Intense Emphasis"/>
    <w:basedOn w:val="DefaultParagraphFont"/>
    <w:uiPriority w:val="21"/>
    <w:qFormat/>
    <w:rsid w:val="00C92A4B"/>
    <w:rPr>
      <w:i/>
      <w:iCs/>
      <w:color w:val="365F91" w:themeColor="accent1" w:themeShade="BF"/>
    </w:rPr>
  </w:style>
  <w:style w:type="paragraph" w:styleId="IntenseQuote">
    <w:name w:val="Intense Quote"/>
    <w:basedOn w:val="Normal"/>
    <w:next w:val="Normal"/>
    <w:link w:val="IntenseQuoteChar"/>
    <w:uiPriority w:val="30"/>
    <w:qFormat/>
    <w:rsid w:val="00C92A4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92A4B"/>
    <w:rPr>
      <w:i/>
      <w:iCs/>
      <w:color w:val="365F91" w:themeColor="accent1" w:themeShade="BF"/>
    </w:rPr>
  </w:style>
  <w:style w:type="character" w:styleId="IntenseReference">
    <w:name w:val="Intense Reference"/>
    <w:basedOn w:val="DefaultParagraphFont"/>
    <w:uiPriority w:val="32"/>
    <w:qFormat/>
    <w:rsid w:val="00C92A4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53804">
      <w:bodyDiv w:val="1"/>
      <w:marLeft w:val="0"/>
      <w:marRight w:val="0"/>
      <w:marTop w:val="0"/>
      <w:marBottom w:val="0"/>
      <w:divBdr>
        <w:top w:val="none" w:sz="0" w:space="0" w:color="auto"/>
        <w:left w:val="none" w:sz="0" w:space="0" w:color="auto"/>
        <w:bottom w:val="none" w:sz="0" w:space="0" w:color="auto"/>
        <w:right w:val="none" w:sz="0" w:space="0" w:color="auto"/>
      </w:divBdr>
    </w:div>
    <w:div w:id="239290644">
      <w:bodyDiv w:val="1"/>
      <w:marLeft w:val="0"/>
      <w:marRight w:val="0"/>
      <w:marTop w:val="0"/>
      <w:marBottom w:val="0"/>
      <w:divBdr>
        <w:top w:val="none" w:sz="0" w:space="0" w:color="auto"/>
        <w:left w:val="none" w:sz="0" w:space="0" w:color="auto"/>
        <w:bottom w:val="none" w:sz="0" w:space="0" w:color="auto"/>
        <w:right w:val="none" w:sz="0" w:space="0" w:color="auto"/>
      </w:divBdr>
    </w:div>
    <w:div w:id="433596210">
      <w:bodyDiv w:val="1"/>
      <w:marLeft w:val="0"/>
      <w:marRight w:val="0"/>
      <w:marTop w:val="0"/>
      <w:marBottom w:val="0"/>
      <w:divBdr>
        <w:top w:val="none" w:sz="0" w:space="0" w:color="auto"/>
        <w:left w:val="none" w:sz="0" w:space="0" w:color="auto"/>
        <w:bottom w:val="none" w:sz="0" w:space="0" w:color="auto"/>
        <w:right w:val="none" w:sz="0" w:space="0" w:color="auto"/>
      </w:divBdr>
    </w:div>
    <w:div w:id="565451758">
      <w:bodyDiv w:val="1"/>
      <w:marLeft w:val="0"/>
      <w:marRight w:val="0"/>
      <w:marTop w:val="0"/>
      <w:marBottom w:val="0"/>
      <w:divBdr>
        <w:top w:val="none" w:sz="0" w:space="0" w:color="auto"/>
        <w:left w:val="none" w:sz="0" w:space="0" w:color="auto"/>
        <w:bottom w:val="none" w:sz="0" w:space="0" w:color="auto"/>
        <w:right w:val="none" w:sz="0" w:space="0" w:color="auto"/>
      </w:divBdr>
    </w:div>
    <w:div w:id="857432924">
      <w:bodyDiv w:val="1"/>
      <w:marLeft w:val="0"/>
      <w:marRight w:val="0"/>
      <w:marTop w:val="0"/>
      <w:marBottom w:val="0"/>
      <w:divBdr>
        <w:top w:val="none" w:sz="0" w:space="0" w:color="auto"/>
        <w:left w:val="none" w:sz="0" w:space="0" w:color="auto"/>
        <w:bottom w:val="none" w:sz="0" w:space="0" w:color="auto"/>
        <w:right w:val="none" w:sz="0" w:space="0" w:color="auto"/>
      </w:divBdr>
    </w:div>
    <w:div w:id="1268198714">
      <w:bodyDiv w:val="1"/>
      <w:marLeft w:val="0"/>
      <w:marRight w:val="0"/>
      <w:marTop w:val="0"/>
      <w:marBottom w:val="0"/>
      <w:divBdr>
        <w:top w:val="none" w:sz="0" w:space="0" w:color="auto"/>
        <w:left w:val="none" w:sz="0" w:space="0" w:color="auto"/>
        <w:bottom w:val="none" w:sz="0" w:space="0" w:color="auto"/>
        <w:right w:val="none" w:sz="0" w:space="0" w:color="auto"/>
      </w:divBdr>
    </w:div>
    <w:div w:id="1389960644">
      <w:bodyDiv w:val="1"/>
      <w:marLeft w:val="0"/>
      <w:marRight w:val="0"/>
      <w:marTop w:val="0"/>
      <w:marBottom w:val="0"/>
      <w:divBdr>
        <w:top w:val="none" w:sz="0" w:space="0" w:color="auto"/>
        <w:left w:val="none" w:sz="0" w:space="0" w:color="auto"/>
        <w:bottom w:val="none" w:sz="0" w:space="0" w:color="auto"/>
        <w:right w:val="none" w:sz="0" w:space="0" w:color="auto"/>
      </w:divBdr>
    </w:div>
    <w:div w:id="151487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658</Words>
  <Characters>3754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2</cp:revision>
  <dcterms:created xsi:type="dcterms:W3CDTF">2025-07-08T08:24:00Z</dcterms:created>
  <dcterms:modified xsi:type="dcterms:W3CDTF">2025-07-08T08:46:00Z</dcterms:modified>
</cp:coreProperties>
</file>