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Ex1.xml" ContentType="application/vnd.ms-office.chartex+xml"/>
  <Override PartName="/word/charts/style2.xml" ContentType="application/vnd.ms-office.chartstyle+xml"/>
  <Override PartName="/word/charts/colors2.xml" ContentType="application/vnd.ms-office.chartcolorstyle+xml"/>
  <Override PartName="/word/charts/chart2.xml" ContentType="application/vnd.openxmlformats-officedocument.drawingml.chart+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D7267" w14:textId="51EBED47" w:rsidR="008F2F87" w:rsidRPr="00AB2742" w:rsidRDefault="008F2F87">
      <w:pPr>
        <w:rPr>
          <w:szCs w:val="22"/>
          <w:lang w:val="sv-SE"/>
        </w:rPr>
      </w:pPr>
      <w:r w:rsidRPr="00AB2742">
        <w:rPr>
          <w:szCs w:val="22"/>
          <w:lang w:val="sv-SE"/>
        </w:rPr>
        <w:t>Hubungan antara besaran sudut kritis bahu (CSA) dengan kejadian robekan rotator cuff</w:t>
      </w:r>
    </w:p>
    <w:p w14:paraId="4AE8FFB0" w14:textId="3A124067" w:rsidR="00F57DE9" w:rsidRPr="00AB2742" w:rsidRDefault="00985BDE">
      <w:pPr>
        <w:rPr>
          <w:szCs w:val="22"/>
        </w:rPr>
      </w:pPr>
      <w:r w:rsidRPr="00AB2742">
        <w:rPr>
          <w:noProof/>
          <w:szCs w:val="22"/>
        </w:rPr>
        <w:drawing>
          <wp:inline distT="0" distB="0" distL="0" distR="0" wp14:anchorId="00F5D029" wp14:editId="713F71CF">
            <wp:extent cx="4584550" cy="2748579"/>
            <wp:effectExtent l="0" t="0" r="6985" b="13970"/>
            <wp:docPr id="502025115" name="Chart 1">
              <a:extLst xmlns:a="http://schemas.openxmlformats.org/drawingml/2006/main">
                <a:ext uri="{FF2B5EF4-FFF2-40B4-BE49-F238E27FC236}">
                  <a16:creationId xmlns:a16="http://schemas.microsoft.com/office/drawing/2014/main" id="{CE3C1936-CF7F-6B25-089C-1DC30833E75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3632EB13" w14:textId="77777777" w:rsidR="00A24498" w:rsidRPr="00AB2742" w:rsidRDefault="00F34941" w:rsidP="00A24498">
      <w:pPr>
        <w:jc w:val="both"/>
        <w:rPr>
          <w:b/>
          <w:bCs/>
          <w:szCs w:val="22"/>
          <w:lang w:val="sv-SE"/>
        </w:rPr>
      </w:pPr>
      <w:r w:rsidRPr="00F34941">
        <w:rPr>
          <w:b/>
          <w:bCs/>
          <w:szCs w:val="22"/>
          <w:lang w:val="sv-SE"/>
        </w:rPr>
        <w:t>1. Hubungan CSA dengan Usia dan BMI (Scatterplot)</w:t>
      </w:r>
    </w:p>
    <w:p w14:paraId="194DB9DE" w14:textId="159B2B5F" w:rsidR="00F34941" w:rsidRPr="00F34941" w:rsidRDefault="00F34941" w:rsidP="00A24498">
      <w:pPr>
        <w:jc w:val="both"/>
        <w:rPr>
          <w:szCs w:val="22"/>
          <w:lang w:val="sv-SE"/>
        </w:rPr>
      </w:pPr>
      <w:r w:rsidRPr="00F34941">
        <w:rPr>
          <w:szCs w:val="22"/>
          <w:lang w:val="sv-SE"/>
        </w:rPr>
        <w:t>Berdasarkan analisis scatterplot, hubungan antara sudut kritis bahu (CSA) dengan usia maupun indeks massa tubuh (BMI) menunjukkan nilai koefisien determinasi (R²) yang sangat rendah, yaitu 0,0003 untuk usia dan 0,0067 untuk BMI. Hal ini menandakan bahwa baik usia maupun BMI hampir tidak menjelaskan variasi CSA. Dengan demikian, dapat disimpulkan bahwa tidak terdapat hubungan linear yang bermakna antara CSA dengan usia maupun BMI pada sampel penelitian ini.</w:t>
      </w:r>
    </w:p>
    <w:p w14:paraId="11EE5172" w14:textId="5DA1E05B" w:rsidR="00B752E3" w:rsidRPr="009A3C9F" w:rsidRDefault="009A3C9F">
      <w:pPr>
        <w:rPr>
          <w:szCs w:val="22"/>
          <w:lang w:val="sv-SE"/>
        </w:rPr>
      </w:pPr>
      <w:r>
        <w:rPr>
          <w:noProof/>
        </w:rPr>
        <mc:AlternateContent>
          <mc:Choice Requires="cx1">
            <w:drawing>
              <wp:inline distT="0" distB="0" distL="0" distR="0" wp14:anchorId="2628FDDE" wp14:editId="0D9FFC54">
                <wp:extent cx="4555771" cy="2723107"/>
                <wp:effectExtent l="0" t="0" r="16510" b="1270"/>
                <wp:docPr id="1275054941" name="Chart 1">
                  <a:extLst xmlns:a="http://schemas.openxmlformats.org/drawingml/2006/main">
                    <a:ext uri="{FF2B5EF4-FFF2-40B4-BE49-F238E27FC236}">
                      <a16:creationId xmlns:a16="http://schemas.microsoft.com/office/drawing/2014/main" id="{EB07BC76-D162-8C25-DB40-9162266815AE}"/>
                    </a:ext>
                  </a:extLst>
                </wp:docPr>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6"/>
                  </a:graphicData>
                </a:graphic>
              </wp:inline>
            </w:drawing>
          </mc:Choice>
          <mc:Fallback>
            <w:drawing>
              <wp:inline distT="0" distB="0" distL="0" distR="0" wp14:anchorId="2628FDDE" wp14:editId="0D9FFC54">
                <wp:extent cx="4555771" cy="2723107"/>
                <wp:effectExtent l="0" t="0" r="16510" b="1270"/>
                <wp:docPr id="1275054941" name="Chart 1">
                  <a:extLst xmlns:a="http://schemas.openxmlformats.org/drawingml/2006/main">
                    <a:ext uri="{FF2B5EF4-FFF2-40B4-BE49-F238E27FC236}">
                      <a16:creationId xmlns:a16="http://schemas.microsoft.com/office/drawing/2014/main" id="{EB07BC76-D162-8C25-DB40-9162266815AE}"/>
                    </a:ext>
                  </a:extLst>
                </wp:docPr>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1275054941" name="Chart 1">
                          <a:extLst>
                            <a:ext uri="{FF2B5EF4-FFF2-40B4-BE49-F238E27FC236}">
                              <a16:creationId xmlns:a16="http://schemas.microsoft.com/office/drawing/2014/main" id="{EB07BC76-D162-8C25-DB40-9162266815AE}"/>
                            </a:ext>
                          </a:extLst>
                        </pic:cNvPr>
                        <pic:cNvPicPr>
                          <a:picLocks noGrp="1" noRot="1" noChangeAspect="1" noMove="1" noResize="1" noEditPoints="1" noAdjustHandles="1" noChangeArrowheads="1" noChangeShapeType="1"/>
                        </pic:cNvPicPr>
                      </pic:nvPicPr>
                      <pic:blipFill>
                        <a:blip r:embed="rId7"/>
                        <a:stretch>
                          <a:fillRect/>
                        </a:stretch>
                      </pic:blipFill>
                      <pic:spPr>
                        <a:xfrm>
                          <a:off x="0" y="0"/>
                          <a:ext cx="4555490" cy="2722880"/>
                        </a:xfrm>
                        <a:prstGeom prst="rect">
                          <a:avLst/>
                        </a:prstGeom>
                      </pic:spPr>
                    </pic:pic>
                  </a:graphicData>
                </a:graphic>
              </wp:inline>
            </w:drawing>
          </mc:Fallback>
        </mc:AlternateContent>
      </w:r>
    </w:p>
    <w:p w14:paraId="03FD5BEA" w14:textId="77777777" w:rsidR="00A24498" w:rsidRPr="009A3C9F" w:rsidRDefault="00F34941" w:rsidP="00F34941">
      <w:pPr>
        <w:jc w:val="both"/>
        <w:rPr>
          <w:b/>
          <w:bCs/>
          <w:szCs w:val="22"/>
          <w:lang w:val="sv-SE"/>
        </w:rPr>
      </w:pPr>
      <w:r w:rsidRPr="009A3C9F">
        <w:rPr>
          <w:b/>
          <w:bCs/>
          <w:szCs w:val="22"/>
          <w:lang w:val="sv-SE"/>
        </w:rPr>
        <w:t>2. Perbedaan CSA berdasarkan Tipe (Boxplot)</w:t>
      </w:r>
    </w:p>
    <w:p w14:paraId="1DAC0C43" w14:textId="29BBCCBE" w:rsidR="00F34941" w:rsidRPr="00AB2742" w:rsidRDefault="00F34941" w:rsidP="00F34941">
      <w:pPr>
        <w:jc w:val="both"/>
        <w:rPr>
          <w:szCs w:val="22"/>
          <w:lang w:val="sv-SE"/>
        </w:rPr>
      </w:pPr>
      <w:r w:rsidRPr="009A3C9F">
        <w:rPr>
          <w:szCs w:val="22"/>
          <w:lang w:val="sv-SE"/>
        </w:rPr>
        <w:t xml:space="preserve">Visualisasi boxplot CSA berdasarkan tipe patologi bahu (Rotator Cuff Tear/RCT dan Frozen Shoulder) menunjukkan adanya perbedaan distribusi nilai CSA antara kedua kelompok. Secara deskriptif terlihat bahwa CSA cenderung lebih tinggi pada kelompok RCT dibandingkan Frozen Shoulder. </w:t>
      </w:r>
      <w:r w:rsidRPr="00AB2742">
        <w:rPr>
          <w:szCs w:val="22"/>
          <w:lang w:val="sv-SE"/>
        </w:rPr>
        <w:t>Boxplot ini memberikan gambaran awal bahwa CSA berpotensi menjadi pembeda antara kedua kondisi bahu tersebut.</w:t>
      </w:r>
    </w:p>
    <w:p w14:paraId="42E22A8E" w14:textId="5704A5D5" w:rsidR="00540355" w:rsidRPr="00AB2742" w:rsidRDefault="00540355">
      <w:pPr>
        <w:rPr>
          <w:szCs w:val="22"/>
        </w:rPr>
      </w:pPr>
      <w:r w:rsidRPr="00AB2742">
        <w:rPr>
          <w:noProof/>
          <w:szCs w:val="22"/>
        </w:rPr>
        <w:lastRenderedPageBreak/>
        <w:drawing>
          <wp:inline distT="0" distB="0" distL="0" distR="0" wp14:anchorId="685AC7E6" wp14:editId="699142DC">
            <wp:extent cx="5731510" cy="3161030"/>
            <wp:effectExtent l="0" t="0" r="2540" b="1270"/>
            <wp:docPr id="491057985" name="Chart 1">
              <a:extLst xmlns:a="http://schemas.openxmlformats.org/drawingml/2006/main">
                <a:ext uri="{FF2B5EF4-FFF2-40B4-BE49-F238E27FC236}">
                  <a16:creationId xmlns:a16="http://schemas.microsoft.com/office/drawing/2014/main" id="{20751542-8480-BA6E-9D7F-6E4D8065FF2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F5DEE02" w14:textId="77777777" w:rsidR="00A24498" w:rsidRPr="00AB2742" w:rsidRDefault="00A24498" w:rsidP="00A24498">
      <w:pPr>
        <w:rPr>
          <w:b/>
          <w:bCs/>
          <w:szCs w:val="22"/>
          <w:lang w:val="en-ID"/>
        </w:rPr>
      </w:pPr>
      <w:r w:rsidRPr="00A24498">
        <w:rPr>
          <w:b/>
          <w:bCs/>
          <w:szCs w:val="22"/>
          <w:lang w:val="en-ID"/>
        </w:rPr>
        <w:t>3. Distribusi Kumulatif CSA pada RCT dan Frozen Shoulder</w:t>
      </w:r>
    </w:p>
    <w:p w14:paraId="6F0F2A66" w14:textId="5180B225" w:rsidR="00A24498" w:rsidRPr="00A24498" w:rsidRDefault="00A24498" w:rsidP="00A24498">
      <w:pPr>
        <w:jc w:val="both"/>
        <w:rPr>
          <w:szCs w:val="22"/>
          <w:lang w:val="en-ID"/>
        </w:rPr>
      </w:pPr>
      <w:r w:rsidRPr="00A24498">
        <w:rPr>
          <w:szCs w:val="22"/>
          <w:lang w:val="en-ID"/>
        </w:rPr>
        <w:t>Berdasarkan analisis persentase kumulatif, pada rentang CSA rendah (25–29,9 dan 30–34,9) lebih banyak ditemukan kasus Frozen Shoulder, sedangkan pada CSA lebih tinggi (35–39,9 dan &gt;40) kasus RCT lebih dominan. Kurva kumulatif memperlihatkan pola meningkat pada kelompok RCT seiring kenaikan CSA, sedangkan kelompok Frozen Shoulder menurun. Hal ini mengindikasikan bahwa semakin tinggi nilai CSA, semakin besar kemungkinan terjadinya RCT, sementara CSA rendah lebih berhubungan dengan Frozen Shoulder.</w:t>
      </w:r>
    </w:p>
    <w:tbl>
      <w:tblPr>
        <w:tblW w:w="5000" w:type="pct"/>
        <w:tblBorders>
          <w:top w:val="single" w:sz="4" w:space="0" w:color="auto"/>
          <w:bottom w:val="single" w:sz="4" w:space="0" w:color="auto"/>
        </w:tblBorders>
        <w:tblLook w:val="04A0" w:firstRow="1" w:lastRow="0" w:firstColumn="1" w:lastColumn="0" w:noHBand="0" w:noVBand="1"/>
      </w:tblPr>
      <w:tblGrid>
        <w:gridCol w:w="2541"/>
        <w:gridCol w:w="1492"/>
        <w:gridCol w:w="1621"/>
        <w:gridCol w:w="2599"/>
        <w:gridCol w:w="989"/>
      </w:tblGrid>
      <w:tr w:rsidR="007558B0" w:rsidRPr="00AB2742" w14:paraId="64DD57D8" w14:textId="77777777" w:rsidTr="007558B0">
        <w:trPr>
          <w:trHeight w:val="113"/>
        </w:trPr>
        <w:tc>
          <w:tcPr>
            <w:tcW w:w="1375" w:type="pct"/>
            <w:tcBorders>
              <w:bottom w:val="single" w:sz="4" w:space="0" w:color="auto"/>
            </w:tcBorders>
            <w:noWrap/>
            <w:vAlign w:val="center"/>
            <w:hideMark/>
          </w:tcPr>
          <w:p w14:paraId="7438A60B"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Variable</w:t>
            </w:r>
          </w:p>
        </w:tc>
        <w:tc>
          <w:tcPr>
            <w:tcW w:w="807" w:type="pct"/>
            <w:tcBorders>
              <w:bottom w:val="single" w:sz="4" w:space="0" w:color="auto"/>
            </w:tcBorders>
            <w:noWrap/>
            <w:vAlign w:val="bottom"/>
            <w:hideMark/>
          </w:tcPr>
          <w:p w14:paraId="3C46F46C"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Total (n=54)</w:t>
            </w:r>
          </w:p>
        </w:tc>
        <w:tc>
          <w:tcPr>
            <w:tcW w:w="877" w:type="pct"/>
            <w:tcBorders>
              <w:bottom w:val="single" w:sz="4" w:space="0" w:color="auto"/>
            </w:tcBorders>
            <w:noWrap/>
            <w:vAlign w:val="bottom"/>
            <w:hideMark/>
          </w:tcPr>
          <w:p w14:paraId="091BB9F7"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RCT (n=27)</w:t>
            </w:r>
          </w:p>
        </w:tc>
        <w:tc>
          <w:tcPr>
            <w:tcW w:w="1406" w:type="pct"/>
            <w:tcBorders>
              <w:bottom w:val="single" w:sz="4" w:space="0" w:color="auto"/>
            </w:tcBorders>
            <w:noWrap/>
            <w:vAlign w:val="bottom"/>
            <w:hideMark/>
          </w:tcPr>
          <w:p w14:paraId="07B9ED55"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Frozen Shoulder (n=27)</w:t>
            </w:r>
          </w:p>
        </w:tc>
        <w:tc>
          <w:tcPr>
            <w:tcW w:w="535" w:type="pct"/>
            <w:tcBorders>
              <w:bottom w:val="single" w:sz="4" w:space="0" w:color="auto"/>
            </w:tcBorders>
            <w:noWrap/>
            <w:vAlign w:val="center"/>
            <w:hideMark/>
          </w:tcPr>
          <w:p w14:paraId="02D29CFD"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P-value</w:t>
            </w:r>
          </w:p>
        </w:tc>
      </w:tr>
      <w:tr w:rsidR="007558B0" w:rsidRPr="00AB2742" w14:paraId="1305C702" w14:textId="77777777" w:rsidTr="007558B0">
        <w:trPr>
          <w:trHeight w:val="113"/>
        </w:trPr>
        <w:tc>
          <w:tcPr>
            <w:tcW w:w="1375" w:type="pct"/>
            <w:tcBorders>
              <w:top w:val="single" w:sz="4" w:space="0" w:color="auto"/>
              <w:bottom w:val="nil"/>
            </w:tcBorders>
            <w:noWrap/>
            <w:vAlign w:val="center"/>
            <w:hideMark/>
          </w:tcPr>
          <w:p w14:paraId="1A7FF3AF" w14:textId="77777777" w:rsidR="001A4941" w:rsidRPr="001A4941" w:rsidRDefault="001A4941" w:rsidP="001A4941">
            <w:pPr>
              <w:spacing w:after="0" w:line="240" w:lineRule="auto"/>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Age (years)</w:t>
            </w:r>
          </w:p>
        </w:tc>
        <w:tc>
          <w:tcPr>
            <w:tcW w:w="807" w:type="pct"/>
            <w:tcBorders>
              <w:top w:val="single" w:sz="4" w:space="0" w:color="auto"/>
              <w:bottom w:val="nil"/>
            </w:tcBorders>
            <w:noWrap/>
            <w:vAlign w:val="bottom"/>
            <w:hideMark/>
          </w:tcPr>
          <w:p w14:paraId="39B42E82"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56.87 ± 9.05</w:t>
            </w:r>
          </w:p>
        </w:tc>
        <w:tc>
          <w:tcPr>
            <w:tcW w:w="877" w:type="pct"/>
            <w:tcBorders>
              <w:top w:val="single" w:sz="4" w:space="0" w:color="auto"/>
              <w:bottom w:val="nil"/>
            </w:tcBorders>
            <w:noWrap/>
            <w:vAlign w:val="bottom"/>
            <w:hideMark/>
          </w:tcPr>
          <w:p w14:paraId="5068F1F7"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57.15 ± 10.48</w:t>
            </w:r>
          </w:p>
        </w:tc>
        <w:tc>
          <w:tcPr>
            <w:tcW w:w="1406" w:type="pct"/>
            <w:tcBorders>
              <w:top w:val="single" w:sz="4" w:space="0" w:color="auto"/>
              <w:bottom w:val="nil"/>
            </w:tcBorders>
            <w:noWrap/>
            <w:vAlign w:val="bottom"/>
            <w:hideMark/>
          </w:tcPr>
          <w:p w14:paraId="6517682B"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56.59 ± 7.53</w:t>
            </w:r>
          </w:p>
        </w:tc>
        <w:tc>
          <w:tcPr>
            <w:tcW w:w="535" w:type="pct"/>
            <w:tcBorders>
              <w:top w:val="single" w:sz="4" w:space="0" w:color="auto"/>
              <w:bottom w:val="nil"/>
            </w:tcBorders>
            <w:noWrap/>
            <w:vAlign w:val="center"/>
            <w:hideMark/>
          </w:tcPr>
          <w:p w14:paraId="4E0438D9"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0.824</w:t>
            </w:r>
          </w:p>
        </w:tc>
      </w:tr>
      <w:tr w:rsidR="007558B0" w:rsidRPr="00AB2742" w14:paraId="72D540B6" w14:textId="77777777" w:rsidTr="007558B0">
        <w:trPr>
          <w:trHeight w:val="113"/>
        </w:trPr>
        <w:tc>
          <w:tcPr>
            <w:tcW w:w="1375" w:type="pct"/>
            <w:tcBorders>
              <w:top w:val="nil"/>
            </w:tcBorders>
            <w:noWrap/>
            <w:vAlign w:val="center"/>
            <w:hideMark/>
          </w:tcPr>
          <w:p w14:paraId="5FB059F6" w14:textId="77777777" w:rsidR="001A4941" w:rsidRPr="001A4941" w:rsidRDefault="001A4941" w:rsidP="001A4941">
            <w:pPr>
              <w:spacing w:after="0" w:line="240" w:lineRule="auto"/>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BMI (kg/m²)</w:t>
            </w:r>
          </w:p>
        </w:tc>
        <w:tc>
          <w:tcPr>
            <w:tcW w:w="807" w:type="pct"/>
            <w:tcBorders>
              <w:top w:val="nil"/>
            </w:tcBorders>
            <w:noWrap/>
            <w:vAlign w:val="bottom"/>
            <w:hideMark/>
          </w:tcPr>
          <w:p w14:paraId="0B782217"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24.18 ± 3.64</w:t>
            </w:r>
          </w:p>
        </w:tc>
        <w:tc>
          <w:tcPr>
            <w:tcW w:w="877" w:type="pct"/>
            <w:tcBorders>
              <w:top w:val="nil"/>
            </w:tcBorders>
            <w:noWrap/>
            <w:vAlign w:val="bottom"/>
            <w:hideMark/>
          </w:tcPr>
          <w:p w14:paraId="1AC0792A"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24.29 ± 4.00</w:t>
            </w:r>
          </w:p>
        </w:tc>
        <w:tc>
          <w:tcPr>
            <w:tcW w:w="1406" w:type="pct"/>
            <w:tcBorders>
              <w:top w:val="nil"/>
            </w:tcBorders>
            <w:noWrap/>
            <w:vAlign w:val="bottom"/>
            <w:hideMark/>
          </w:tcPr>
          <w:p w14:paraId="64F50B8F"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24.06 ± 3.32</w:t>
            </w:r>
          </w:p>
        </w:tc>
        <w:tc>
          <w:tcPr>
            <w:tcW w:w="535" w:type="pct"/>
            <w:tcBorders>
              <w:top w:val="nil"/>
            </w:tcBorders>
            <w:noWrap/>
            <w:vAlign w:val="center"/>
            <w:hideMark/>
          </w:tcPr>
          <w:p w14:paraId="27C95BD8"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0.822</w:t>
            </w:r>
          </w:p>
        </w:tc>
      </w:tr>
      <w:tr w:rsidR="00AB2742" w:rsidRPr="00AB2742" w14:paraId="6E0E204E" w14:textId="77777777" w:rsidTr="007558B0">
        <w:trPr>
          <w:trHeight w:val="113"/>
        </w:trPr>
        <w:tc>
          <w:tcPr>
            <w:tcW w:w="1375" w:type="pct"/>
            <w:noWrap/>
            <w:vAlign w:val="center"/>
            <w:hideMark/>
          </w:tcPr>
          <w:p w14:paraId="7A207EC0" w14:textId="77777777" w:rsidR="001A4941" w:rsidRPr="001A4941" w:rsidRDefault="001A4941" w:rsidP="001A4941">
            <w:pPr>
              <w:spacing w:after="0" w:line="240" w:lineRule="auto"/>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Sex</w:t>
            </w:r>
          </w:p>
        </w:tc>
        <w:tc>
          <w:tcPr>
            <w:tcW w:w="807" w:type="pct"/>
            <w:noWrap/>
            <w:vAlign w:val="bottom"/>
            <w:hideMark/>
          </w:tcPr>
          <w:p w14:paraId="4BAB76AC" w14:textId="77777777" w:rsidR="001A4941" w:rsidRPr="001A4941" w:rsidRDefault="001A4941" w:rsidP="001A4941">
            <w:pPr>
              <w:spacing w:after="0" w:line="240" w:lineRule="auto"/>
              <w:rPr>
                <w:rFonts w:eastAsia="Times New Roman"/>
                <w:color w:val="000000"/>
                <w:kern w:val="0"/>
                <w:szCs w:val="22"/>
                <w:lang w:val="en-ID" w:eastAsia="en-ID"/>
                <w14:ligatures w14:val="none"/>
              </w:rPr>
            </w:pPr>
          </w:p>
        </w:tc>
        <w:tc>
          <w:tcPr>
            <w:tcW w:w="877" w:type="pct"/>
            <w:noWrap/>
            <w:vAlign w:val="bottom"/>
            <w:hideMark/>
          </w:tcPr>
          <w:p w14:paraId="0BF4861F"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c>
          <w:tcPr>
            <w:tcW w:w="1406" w:type="pct"/>
            <w:noWrap/>
            <w:vAlign w:val="bottom"/>
            <w:hideMark/>
          </w:tcPr>
          <w:p w14:paraId="3EC9FA60"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c>
          <w:tcPr>
            <w:tcW w:w="535" w:type="pct"/>
            <w:noWrap/>
            <w:vAlign w:val="center"/>
            <w:hideMark/>
          </w:tcPr>
          <w:p w14:paraId="659707AB"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r>
      <w:tr w:rsidR="00AB2742" w:rsidRPr="00AB2742" w14:paraId="6E3E3403" w14:textId="77777777" w:rsidTr="007558B0">
        <w:trPr>
          <w:trHeight w:val="113"/>
        </w:trPr>
        <w:tc>
          <w:tcPr>
            <w:tcW w:w="1375" w:type="pct"/>
            <w:noWrap/>
            <w:vAlign w:val="center"/>
            <w:hideMark/>
          </w:tcPr>
          <w:p w14:paraId="2EFA53D6" w14:textId="77777777" w:rsidR="001A4941" w:rsidRPr="001A4941" w:rsidRDefault="001A4941" w:rsidP="001A4941">
            <w:pPr>
              <w:spacing w:after="0" w:line="240" w:lineRule="auto"/>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 Male</w:t>
            </w:r>
          </w:p>
        </w:tc>
        <w:tc>
          <w:tcPr>
            <w:tcW w:w="807" w:type="pct"/>
            <w:noWrap/>
            <w:vAlign w:val="bottom"/>
            <w:hideMark/>
          </w:tcPr>
          <w:p w14:paraId="546F0A30"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13 (24.1%)</w:t>
            </w:r>
          </w:p>
        </w:tc>
        <w:tc>
          <w:tcPr>
            <w:tcW w:w="877" w:type="pct"/>
            <w:noWrap/>
            <w:vAlign w:val="bottom"/>
            <w:hideMark/>
          </w:tcPr>
          <w:p w14:paraId="42E6BE49"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4 (7.4%)</w:t>
            </w:r>
          </w:p>
        </w:tc>
        <w:tc>
          <w:tcPr>
            <w:tcW w:w="1406" w:type="pct"/>
            <w:noWrap/>
            <w:vAlign w:val="bottom"/>
            <w:hideMark/>
          </w:tcPr>
          <w:p w14:paraId="291ED11C"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9 (16.7%)</w:t>
            </w:r>
          </w:p>
        </w:tc>
        <w:tc>
          <w:tcPr>
            <w:tcW w:w="535" w:type="pct"/>
            <w:vMerge w:val="restart"/>
            <w:noWrap/>
            <w:vAlign w:val="center"/>
            <w:hideMark/>
          </w:tcPr>
          <w:p w14:paraId="1E48E9CE"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0.202</w:t>
            </w:r>
          </w:p>
        </w:tc>
      </w:tr>
      <w:tr w:rsidR="00AB2742" w:rsidRPr="00AB2742" w14:paraId="5F181700" w14:textId="77777777" w:rsidTr="007558B0">
        <w:trPr>
          <w:trHeight w:val="113"/>
        </w:trPr>
        <w:tc>
          <w:tcPr>
            <w:tcW w:w="1375" w:type="pct"/>
            <w:noWrap/>
            <w:vAlign w:val="center"/>
            <w:hideMark/>
          </w:tcPr>
          <w:p w14:paraId="635E4F6C" w14:textId="77777777" w:rsidR="001A4941" w:rsidRPr="001A4941" w:rsidRDefault="001A4941" w:rsidP="001A4941">
            <w:pPr>
              <w:spacing w:after="0" w:line="240" w:lineRule="auto"/>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 Female</w:t>
            </w:r>
          </w:p>
        </w:tc>
        <w:tc>
          <w:tcPr>
            <w:tcW w:w="807" w:type="pct"/>
            <w:noWrap/>
            <w:vAlign w:val="bottom"/>
            <w:hideMark/>
          </w:tcPr>
          <w:p w14:paraId="3419D7A6"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41 (75.9%)</w:t>
            </w:r>
          </w:p>
        </w:tc>
        <w:tc>
          <w:tcPr>
            <w:tcW w:w="877" w:type="pct"/>
            <w:noWrap/>
            <w:vAlign w:val="bottom"/>
            <w:hideMark/>
          </w:tcPr>
          <w:p w14:paraId="5E72C6FB"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23 (42.6%)</w:t>
            </w:r>
          </w:p>
        </w:tc>
        <w:tc>
          <w:tcPr>
            <w:tcW w:w="1406" w:type="pct"/>
            <w:noWrap/>
            <w:vAlign w:val="bottom"/>
            <w:hideMark/>
          </w:tcPr>
          <w:p w14:paraId="7448768E"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18 (33.3%)</w:t>
            </w:r>
          </w:p>
        </w:tc>
        <w:tc>
          <w:tcPr>
            <w:tcW w:w="535" w:type="pct"/>
            <w:vMerge/>
            <w:vAlign w:val="center"/>
            <w:hideMark/>
          </w:tcPr>
          <w:p w14:paraId="1AF90A98" w14:textId="77777777" w:rsidR="001A4941" w:rsidRPr="001A4941" w:rsidRDefault="001A4941" w:rsidP="001A4941">
            <w:pPr>
              <w:spacing w:after="0" w:line="240" w:lineRule="auto"/>
              <w:rPr>
                <w:rFonts w:eastAsia="Times New Roman"/>
                <w:color w:val="000000"/>
                <w:kern w:val="0"/>
                <w:szCs w:val="22"/>
                <w:lang w:val="en-ID" w:eastAsia="en-ID"/>
                <w14:ligatures w14:val="none"/>
              </w:rPr>
            </w:pPr>
          </w:p>
        </w:tc>
      </w:tr>
      <w:tr w:rsidR="00AB2742" w:rsidRPr="00AB2742" w14:paraId="42CF69E4" w14:textId="77777777" w:rsidTr="007558B0">
        <w:trPr>
          <w:trHeight w:val="113"/>
        </w:trPr>
        <w:tc>
          <w:tcPr>
            <w:tcW w:w="1375" w:type="pct"/>
            <w:noWrap/>
            <w:vAlign w:val="center"/>
            <w:hideMark/>
          </w:tcPr>
          <w:p w14:paraId="3A37342A" w14:textId="77777777" w:rsidR="001A4941" w:rsidRPr="001A4941" w:rsidRDefault="001A4941" w:rsidP="001A4941">
            <w:pPr>
              <w:spacing w:after="0" w:line="240" w:lineRule="auto"/>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Diabetes Mellitus (DM)</w:t>
            </w:r>
          </w:p>
        </w:tc>
        <w:tc>
          <w:tcPr>
            <w:tcW w:w="807" w:type="pct"/>
            <w:noWrap/>
            <w:vAlign w:val="bottom"/>
            <w:hideMark/>
          </w:tcPr>
          <w:p w14:paraId="72D90EF0" w14:textId="77777777" w:rsidR="001A4941" w:rsidRPr="001A4941" w:rsidRDefault="001A4941" w:rsidP="001A4941">
            <w:pPr>
              <w:spacing w:after="0" w:line="240" w:lineRule="auto"/>
              <w:rPr>
                <w:rFonts w:eastAsia="Times New Roman"/>
                <w:color w:val="000000"/>
                <w:kern w:val="0"/>
                <w:szCs w:val="22"/>
                <w:lang w:val="en-ID" w:eastAsia="en-ID"/>
                <w14:ligatures w14:val="none"/>
              </w:rPr>
            </w:pPr>
          </w:p>
        </w:tc>
        <w:tc>
          <w:tcPr>
            <w:tcW w:w="877" w:type="pct"/>
            <w:noWrap/>
            <w:vAlign w:val="bottom"/>
            <w:hideMark/>
          </w:tcPr>
          <w:p w14:paraId="0C1F0BAC"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c>
          <w:tcPr>
            <w:tcW w:w="1406" w:type="pct"/>
            <w:noWrap/>
            <w:vAlign w:val="bottom"/>
            <w:hideMark/>
          </w:tcPr>
          <w:p w14:paraId="1E0F69FA"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c>
          <w:tcPr>
            <w:tcW w:w="535" w:type="pct"/>
            <w:noWrap/>
            <w:vAlign w:val="center"/>
            <w:hideMark/>
          </w:tcPr>
          <w:p w14:paraId="506160E7"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r>
      <w:tr w:rsidR="00AB2742" w:rsidRPr="00AB2742" w14:paraId="32C7DF92" w14:textId="77777777" w:rsidTr="007558B0">
        <w:trPr>
          <w:trHeight w:val="113"/>
        </w:trPr>
        <w:tc>
          <w:tcPr>
            <w:tcW w:w="1375" w:type="pct"/>
            <w:noWrap/>
            <w:vAlign w:val="center"/>
            <w:hideMark/>
          </w:tcPr>
          <w:p w14:paraId="2A1E1FDA" w14:textId="77777777" w:rsidR="001A4941" w:rsidRPr="001A4941" w:rsidRDefault="001A4941" w:rsidP="001A4941">
            <w:pPr>
              <w:spacing w:after="0" w:line="240" w:lineRule="auto"/>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 No</w:t>
            </w:r>
          </w:p>
        </w:tc>
        <w:tc>
          <w:tcPr>
            <w:tcW w:w="807" w:type="pct"/>
            <w:noWrap/>
            <w:vAlign w:val="bottom"/>
            <w:hideMark/>
          </w:tcPr>
          <w:p w14:paraId="60B8C7BC"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33 (61.1%)</w:t>
            </w:r>
          </w:p>
        </w:tc>
        <w:tc>
          <w:tcPr>
            <w:tcW w:w="877" w:type="pct"/>
            <w:noWrap/>
            <w:vAlign w:val="bottom"/>
            <w:hideMark/>
          </w:tcPr>
          <w:p w14:paraId="2BD35376"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20 (37.0%)</w:t>
            </w:r>
          </w:p>
        </w:tc>
        <w:tc>
          <w:tcPr>
            <w:tcW w:w="1406" w:type="pct"/>
            <w:noWrap/>
            <w:vAlign w:val="bottom"/>
            <w:hideMark/>
          </w:tcPr>
          <w:p w14:paraId="65359960"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13 (24.1%)</w:t>
            </w:r>
          </w:p>
        </w:tc>
        <w:tc>
          <w:tcPr>
            <w:tcW w:w="535" w:type="pct"/>
            <w:vMerge w:val="restart"/>
            <w:noWrap/>
            <w:vAlign w:val="center"/>
            <w:hideMark/>
          </w:tcPr>
          <w:p w14:paraId="5449EAF7"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0.093</w:t>
            </w:r>
          </w:p>
        </w:tc>
      </w:tr>
      <w:tr w:rsidR="00AB2742" w:rsidRPr="00AB2742" w14:paraId="05D87DA8" w14:textId="77777777" w:rsidTr="007558B0">
        <w:trPr>
          <w:trHeight w:val="113"/>
        </w:trPr>
        <w:tc>
          <w:tcPr>
            <w:tcW w:w="1375" w:type="pct"/>
            <w:noWrap/>
            <w:vAlign w:val="center"/>
            <w:hideMark/>
          </w:tcPr>
          <w:p w14:paraId="38D8B5B6" w14:textId="77777777" w:rsidR="001A4941" w:rsidRPr="001A4941" w:rsidRDefault="001A4941" w:rsidP="001A4941">
            <w:pPr>
              <w:spacing w:after="0" w:line="240" w:lineRule="auto"/>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 Yes</w:t>
            </w:r>
          </w:p>
        </w:tc>
        <w:tc>
          <w:tcPr>
            <w:tcW w:w="807" w:type="pct"/>
            <w:noWrap/>
            <w:vAlign w:val="bottom"/>
            <w:hideMark/>
          </w:tcPr>
          <w:p w14:paraId="6CBFE081"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21 (38.9%)</w:t>
            </w:r>
          </w:p>
        </w:tc>
        <w:tc>
          <w:tcPr>
            <w:tcW w:w="877" w:type="pct"/>
            <w:noWrap/>
            <w:vAlign w:val="bottom"/>
            <w:hideMark/>
          </w:tcPr>
          <w:p w14:paraId="1814A974"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7 (13.0%)</w:t>
            </w:r>
          </w:p>
        </w:tc>
        <w:tc>
          <w:tcPr>
            <w:tcW w:w="1406" w:type="pct"/>
            <w:noWrap/>
            <w:vAlign w:val="bottom"/>
            <w:hideMark/>
          </w:tcPr>
          <w:p w14:paraId="6BB592E4"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14 (25.9%)</w:t>
            </w:r>
          </w:p>
        </w:tc>
        <w:tc>
          <w:tcPr>
            <w:tcW w:w="535" w:type="pct"/>
            <w:vMerge/>
            <w:vAlign w:val="center"/>
            <w:hideMark/>
          </w:tcPr>
          <w:p w14:paraId="2FD1272C" w14:textId="77777777" w:rsidR="001A4941" w:rsidRPr="001A4941" w:rsidRDefault="001A4941" w:rsidP="001A4941">
            <w:pPr>
              <w:spacing w:after="0" w:line="240" w:lineRule="auto"/>
              <w:rPr>
                <w:rFonts w:eastAsia="Times New Roman"/>
                <w:color w:val="000000"/>
                <w:kern w:val="0"/>
                <w:szCs w:val="22"/>
                <w:lang w:val="en-ID" w:eastAsia="en-ID"/>
                <w14:ligatures w14:val="none"/>
              </w:rPr>
            </w:pPr>
          </w:p>
        </w:tc>
      </w:tr>
    </w:tbl>
    <w:p w14:paraId="7F3D1D60" w14:textId="77777777" w:rsidR="004032AA" w:rsidRPr="00AB2742" w:rsidRDefault="004032AA" w:rsidP="004032AA">
      <w:pPr>
        <w:jc w:val="both"/>
        <w:rPr>
          <w:szCs w:val="22"/>
          <w:lang w:val="sv-SE"/>
        </w:rPr>
      </w:pPr>
      <w:r w:rsidRPr="004032AA">
        <w:rPr>
          <w:b/>
          <w:bCs/>
          <w:szCs w:val="22"/>
          <w:lang w:val="sv-SE"/>
        </w:rPr>
        <w:t>4. Karakteristik Subjek Penelitian</w:t>
      </w:r>
    </w:p>
    <w:p w14:paraId="66373C5D" w14:textId="052889DA" w:rsidR="004032AA" w:rsidRPr="004032AA" w:rsidRDefault="004032AA" w:rsidP="004032AA">
      <w:pPr>
        <w:jc w:val="both"/>
        <w:rPr>
          <w:szCs w:val="22"/>
          <w:lang w:val="sv-SE"/>
        </w:rPr>
      </w:pPr>
      <w:r w:rsidRPr="004032AA">
        <w:rPr>
          <w:szCs w:val="22"/>
          <w:lang w:val="sv-SE"/>
        </w:rPr>
        <w:t>Analisis karakteristik sampel menggunakan uji t independen untuk variabel numerik dan uji chi-square untuk variabel kategorik. Hasilnya menunjukkan bahwa rata-rata usia subjek adalah 56,87 ± 9,05 tahun, dengan tidak terdapat perbedaan signifikan antara kelompok RCT (57,15 ± 10,48) dan Frozen Shoulder (56,59 ± 7,53) (p=0,824). Rata-rata BMI adalah 24,18 ± 3,64 kg/m², juga tidak menunjukkan perbedaan signifikan (p=0,822). Distribusi jenis kelamin menunjukkan mayoritas responden adalah perempuan (75,9%), dengan proporsi perempuan lebih banyak pada RCT (42,6%) dibanding Frozen Shoulder (33,3%), namun tidak signifikan (p=0,202). Status diabetes mellitus ditemukan pada 38,9% responden, lebih banyak pada Frozen Shoulder (25,9%) dibandingkan RCT (13,0%), tetapi perbedaan juga tidak signifikan (p=0,093).</w:t>
      </w:r>
    </w:p>
    <w:p w14:paraId="26EBD9F6" w14:textId="77777777" w:rsidR="001A4941" w:rsidRPr="00AB2742" w:rsidRDefault="001A4941" w:rsidP="004032AA">
      <w:pPr>
        <w:jc w:val="both"/>
        <w:rPr>
          <w:szCs w:val="22"/>
          <w:lang w:val="sv-SE"/>
        </w:rPr>
      </w:pPr>
    </w:p>
    <w:tbl>
      <w:tblPr>
        <w:tblW w:w="5000" w:type="pct"/>
        <w:jc w:val="center"/>
        <w:tblBorders>
          <w:top w:val="single" w:sz="4" w:space="0" w:color="auto"/>
          <w:bottom w:val="single" w:sz="4" w:space="0" w:color="auto"/>
        </w:tblBorders>
        <w:tblLook w:val="04A0" w:firstRow="1" w:lastRow="0" w:firstColumn="1" w:lastColumn="0" w:noHBand="0" w:noVBand="1"/>
      </w:tblPr>
      <w:tblGrid>
        <w:gridCol w:w="4676"/>
        <w:gridCol w:w="2747"/>
        <w:gridCol w:w="1819"/>
      </w:tblGrid>
      <w:tr w:rsidR="007558B0" w:rsidRPr="00AB2742" w14:paraId="0F3493D5" w14:textId="77777777" w:rsidTr="007558B0">
        <w:trPr>
          <w:trHeight w:val="113"/>
          <w:jc w:val="center"/>
        </w:trPr>
        <w:tc>
          <w:tcPr>
            <w:tcW w:w="2530" w:type="pct"/>
            <w:tcBorders>
              <w:bottom w:val="single" w:sz="4" w:space="0" w:color="auto"/>
            </w:tcBorders>
            <w:noWrap/>
            <w:vAlign w:val="bottom"/>
            <w:hideMark/>
          </w:tcPr>
          <w:p w14:paraId="6F557D8C" w14:textId="77777777" w:rsidR="007558B0" w:rsidRPr="007558B0" w:rsidRDefault="007558B0" w:rsidP="007558B0">
            <w:pPr>
              <w:spacing w:after="0" w:line="240" w:lineRule="auto"/>
              <w:jc w:val="center"/>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lastRenderedPageBreak/>
              <w:t>Variable</w:t>
            </w:r>
          </w:p>
        </w:tc>
        <w:tc>
          <w:tcPr>
            <w:tcW w:w="1486" w:type="pct"/>
            <w:tcBorders>
              <w:bottom w:val="single" w:sz="4" w:space="0" w:color="auto"/>
            </w:tcBorders>
            <w:noWrap/>
            <w:vAlign w:val="bottom"/>
            <w:hideMark/>
          </w:tcPr>
          <w:p w14:paraId="3DBE6689" w14:textId="77777777" w:rsidR="007558B0" w:rsidRPr="007558B0" w:rsidRDefault="007558B0" w:rsidP="00540355">
            <w:pPr>
              <w:spacing w:after="0" w:line="240" w:lineRule="auto"/>
              <w:jc w:val="center"/>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t>CSA</w:t>
            </w:r>
          </w:p>
        </w:tc>
        <w:tc>
          <w:tcPr>
            <w:tcW w:w="984" w:type="pct"/>
            <w:tcBorders>
              <w:bottom w:val="single" w:sz="4" w:space="0" w:color="auto"/>
            </w:tcBorders>
            <w:noWrap/>
            <w:vAlign w:val="bottom"/>
            <w:hideMark/>
          </w:tcPr>
          <w:p w14:paraId="4C706737" w14:textId="77777777" w:rsidR="007558B0" w:rsidRPr="007558B0" w:rsidRDefault="007558B0" w:rsidP="007558B0">
            <w:pPr>
              <w:spacing w:after="0" w:line="240" w:lineRule="auto"/>
              <w:jc w:val="center"/>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t>P-value</w:t>
            </w:r>
          </w:p>
        </w:tc>
      </w:tr>
      <w:tr w:rsidR="007558B0" w:rsidRPr="00AB2742" w14:paraId="7EB492E7" w14:textId="77777777" w:rsidTr="007558B0">
        <w:trPr>
          <w:trHeight w:val="113"/>
          <w:jc w:val="center"/>
        </w:trPr>
        <w:tc>
          <w:tcPr>
            <w:tcW w:w="2530" w:type="pct"/>
            <w:tcBorders>
              <w:top w:val="single" w:sz="4" w:space="0" w:color="auto"/>
              <w:bottom w:val="nil"/>
            </w:tcBorders>
            <w:noWrap/>
            <w:vAlign w:val="bottom"/>
            <w:hideMark/>
          </w:tcPr>
          <w:p w14:paraId="6F18069A" w14:textId="77777777" w:rsidR="007558B0" w:rsidRPr="007558B0" w:rsidRDefault="007558B0" w:rsidP="007558B0">
            <w:pPr>
              <w:spacing w:after="0" w:line="240" w:lineRule="auto"/>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t>Sex</w:t>
            </w:r>
          </w:p>
        </w:tc>
        <w:tc>
          <w:tcPr>
            <w:tcW w:w="1486" w:type="pct"/>
            <w:tcBorders>
              <w:top w:val="single" w:sz="4" w:space="0" w:color="auto"/>
              <w:bottom w:val="nil"/>
            </w:tcBorders>
            <w:noWrap/>
            <w:vAlign w:val="bottom"/>
            <w:hideMark/>
          </w:tcPr>
          <w:p w14:paraId="07C232F1"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p>
        </w:tc>
        <w:tc>
          <w:tcPr>
            <w:tcW w:w="984" w:type="pct"/>
            <w:tcBorders>
              <w:top w:val="single" w:sz="4" w:space="0" w:color="auto"/>
              <w:bottom w:val="nil"/>
            </w:tcBorders>
            <w:noWrap/>
            <w:vAlign w:val="bottom"/>
            <w:hideMark/>
          </w:tcPr>
          <w:p w14:paraId="4028F7BB" w14:textId="77777777" w:rsidR="007558B0" w:rsidRPr="007558B0" w:rsidRDefault="007558B0" w:rsidP="007558B0">
            <w:pPr>
              <w:spacing w:after="0" w:line="240" w:lineRule="auto"/>
              <w:rPr>
                <w:rFonts w:eastAsia="Times New Roman"/>
                <w:kern w:val="0"/>
                <w:szCs w:val="22"/>
                <w:lang w:val="en-ID" w:eastAsia="en-ID"/>
                <w14:ligatures w14:val="none"/>
              </w:rPr>
            </w:pPr>
          </w:p>
        </w:tc>
      </w:tr>
      <w:tr w:rsidR="007558B0" w:rsidRPr="00AB2742" w14:paraId="3E1D485D" w14:textId="77777777" w:rsidTr="007558B0">
        <w:trPr>
          <w:trHeight w:val="113"/>
          <w:jc w:val="center"/>
        </w:trPr>
        <w:tc>
          <w:tcPr>
            <w:tcW w:w="2530" w:type="pct"/>
            <w:tcBorders>
              <w:top w:val="nil"/>
            </w:tcBorders>
            <w:noWrap/>
            <w:vAlign w:val="bottom"/>
            <w:hideMark/>
          </w:tcPr>
          <w:p w14:paraId="70749D2E" w14:textId="77777777" w:rsidR="007558B0" w:rsidRPr="007558B0" w:rsidRDefault="007558B0" w:rsidP="007558B0">
            <w:pPr>
              <w:spacing w:after="0" w:line="240" w:lineRule="auto"/>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 Male</w:t>
            </w:r>
          </w:p>
        </w:tc>
        <w:tc>
          <w:tcPr>
            <w:tcW w:w="1486" w:type="pct"/>
            <w:tcBorders>
              <w:top w:val="nil"/>
            </w:tcBorders>
            <w:noWrap/>
            <w:vAlign w:val="bottom"/>
            <w:hideMark/>
          </w:tcPr>
          <w:p w14:paraId="44BED1E4"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36.15 ± 5.10</w:t>
            </w:r>
          </w:p>
        </w:tc>
        <w:tc>
          <w:tcPr>
            <w:tcW w:w="984" w:type="pct"/>
            <w:vMerge w:val="restart"/>
            <w:tcBorders>
              <w:top w:val="nil"/>
            </w:tcBorders>
            <w:noWrap/>
            <w:vAlign w:val="center"/>
            <w:hideMark/>
          </w:tcPr>
          <w:p w14:paraId="6786EC1F" w14:textId="77777777" w:rsidR="007558B0" w:rsidRPr="007558B0" w:rsidRDefault="007558B0" w:rsidP="007558B0">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0.213</w:t>
            </w:r>
          </w:p>
        </w:tc>
      </w:tr>
      <w:tr w:rsidR="007558B0" w:rsidRPr="00AB2742" w14:paraId="0E6DED3D" w14:textId="77777777" w:rsidTr="007558B0">
        <w:trPr>
          <w:trHeight w:val="113"/>
          <w:jc w:val="center"/>
        </w:trPr>
        <w:tc>
          <w:tcPr>
            <w:tcW w:w="2530" w:type="pct"/>
            <w:noWrap/>
            <w:vAlign w:val="bottom"/>
            <w:hideMark/>
          </w:tcPr>
          <w:p w14:paraId="046DEF3B" w14:textId="77777777" w:rsidR="007558B0" w:rsidRPr="007558B0" w:rsidRDefault="007558B0" w:rsidP="007558B0">
            <w:pPr>
              <w:spacing w:after="0" w:line="240" w:lineRule="auto"/>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 Female</w:t>
            </w:r>
          </w:p>
        </w:tc>
        <w:tc>
          <w:tcPr>
            <w:tcW w:w="1486" w:type="pct"/>
            <w:noWrap/>
            <w:vAlign w:val="bottom"/>
            <w:hideMark/>
          </w:tcPr>
          <w:p w14:paraId="087F5CF0"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34.29 ± 4.49</w:t>
            </w:r>
          </w:p>
        </w:tc>
        <w:tc>
          <w:tcPr>
            <w:tcW w:w="984" w:type="pct"/>
            <w:vMerge/>
            <w:vAlign w:val="center"/>
            <w:hideMark/>
          </w:tcPr>
          <w:p w14:paraId="191D2700" w14:textId="77777777" w:rsidR="007558B0" w:rsidRPr="007558B0" w:rsidRDefault="007558B0" w:rsidP="007558B0">
            <w:pPr>
              <w:spacing w:after="0" w:line="240" w:lineRule="auto"/>
              <w:rPr>
                <w:rFonts w:eastAsia="Times New Roman"/>
                <w:color w:val="000000"/>
                <w:kern w:val="0"/>
                <w:szCs w:val="22"/>
                <w:lang w:val="en-ID" w:eastAsia="en-ID"/>
                <w14:ligatures w14:val="none"/>
              </w:rPr>
            </w:pPr>
          </w:p>
        </w:tc>
      </w:tr>
      <w:tr w:rsidR="007558B0" w:rsidRPr="00AB2742" w14:paraId="328FC1FF" w14:textId="77777777" w:rsidTr="007558B0">
        <w:trPr>
          <w:trHeight w:val="113"/>
          <w:jc w:val="center"/>
        </w:trPr>
        <w:tc>
          <w:tcPr>
            <w:tcW w:w="2530" w:type="pct"/>
            <w:noWrap/>
            <w:vAlign w:val="bottom"/>
            <w:hideMark/>
          </w:tcPr>
          <w:p w14:paraId="2A330684" w14:textId="77777777" w:rsidR="007558B0" w:rsidRPr="007558B0" w:rsidRDefault="007558B0" w:rsidP="007558B0">
            <w:pPr>
              <w:spacing w:after="0" w:line="240" w:lineRule="auto"/>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t>Diabetes Mellitus (DM)</w:t>
            </w:r>
          </w:p>
        </w:tc>
        <w:tc>
          <w:tcPr>
            <w:tcW w:w="1486" w:type="pct"/>
            <w:noWrap/>
            <w:vAlign w:val="bottom"/>
            <w:hideMark/>
          </w:tcPr>
          <w:p w14:paraId="028DC921"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p>
        </w:tc>
        <w:tc>
          <w:tcPr>
            <w:tcW w:w="984" w:type="pct"/>
            <w:noWrap/>
            <w:vAlign w:val="bottom"/>
            <w:hideMark/>
          </w:tcPr>
          <w:p w14:paraId="14699BEE" w14:textId="77777777" w:rsidR="007558B0" w:rsidRPr="007558B0" w:rsidRDefault="007558B0" w:rsidP="007558B0">
            <w:pPr>
              <w:spacing w:after="0" w:line="240" w:lineRule="auto"/>
              <w:rPr>
                <w:rFonts w:eastAsia="Times New Roman"/>
                <w:kern w:val="0"/>
                <w:szCs w:val="22"/>
                <w:lang w:val="en-ID" w:eastAsia="en-ID"/>
                <w14:ligatures w14:val="none"/>
              </w:rPr>
            </w:pPr>
          </w:p>
        </w:tc>
      </w:tr>
      <w:tr w:rsidR="007558B0" w:rsidRPr="00AB2742" w14:paraId="0745A394" w14:textId="77777777" w:rsidTr="007558B0">
        <w:trPr>
          <w:trHeight w:val="113"/>
          <w:jc w:val="center"/>
        </w:trPr>
        <w:tc>
          <w:tcPr>
            <w:tcW w:w="2530" w:type="pct"/>
            <w:noWrap/>
            <w:vAlign w:val="bottom"/>
            <w:hideMark/>
          </w:tcPr>
          <w:p w14:paraId="50121785" w14:textId="77777777" w:rsidR="007558B0" w:rsidRPr="007558B0" w:rsidRDefault="007558B0" w:rsidP="007558B0">
            <w:pPr>
              <w:spacing w:after="0" w:line="240" w:lineRule="auto"/>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 No</w:t>
            </w:r>
          </w:p>
        </w:tc>
        <w:tc>
          <w:tcPr>
            <w:tcW w:w="1486" w:type="pct"/>
            <w:noWrap/>
            <w:vAlign w:val="bottom"/>
            <w:hideMark/>
          </w:tcPr>
          <w:p w14:paraId="611D38E2"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35.39 ± 4.21</w:t>
            </w:r>
          </w:p>
        </w:tc>
        <w:tc>
          <w:tcPr>
            <w:tcW w:w="984" w:type="pct"/>
            <w:vMerge w:val="restart"/>
            <w:noWrap/>
            <w:vAlign w:val="center"/>
            <w:hideMark/>
          </w:tcPr>
          <w:p w14:paraId="391C21B3" w14:textId="77777777" w:rsidR="007558B0" w:rsidRPr="007558B0" w:rsidRDefault="007558B0" w:rsidP="007558B0">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0.200</w:t>
            </w:r>
          </w:p>
        </w:tc>
      </w:tr>
      <w:tr w:rsidR="007558B0" w:rsidRPr="00AB2742" w14:paraId="6585A3F1" w14:textId="77777777" w:rsidTr="007558B0">
        <w:trPr>
          <w:trHeight w:val="113"/>
          <w:jc w:val="center"/>
        </w:trPr>
        <w:tc>
          <w:tcPr>
            <w:tcW w:w="2530" w:type="pct"/>
            <w:noWrap/>
            <w:vAlign w:val="bottom"/>
            <w:hideMark/>
          </w:tcPr>
          <w:p w14:paraId="15A10630" w14:textId="77777777" w:rsidR="007558B0" w:rsidRPr="007558B0" w:rsidRDefault="007558B0" w:rsidP="007558B0">
            <w:pPr>
              <w:spacing w:after="0" w:line="240" w:lineRule="auto"/>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 Yes</w:t>
            </w:r>
          </w:p>
        </w:tc>
        <w:tc>
          <w:tcPr>
            <w:tcW w:w="1486" w:type="pct"/>
            <w:noWrap/>
            <w:vAlign w:val="bottom"/>
            <w:hideMark/>
          </w:tcPr>
          <w:p w14:paraId="5D77135D"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33.71 ± 5.24</w:t>
            </w:r>
          </w:p>
        </w:tc>
        <w:tc>
          <w:tcPr>
            <w:tcW w:w="984" w:type="pct"/>
            <w:vMerge/>
            <w:vAlign w:val="center"/>
            <w:hideMark/>
          </w:tcPr>
          <w:p w14:paraId="3C2EABE7" w14:textId="77777777" w:rsidR="007558B0" w:rsidRPr="007558B0" w:rsidRDefault="007558B0" w:rsidP="007558B0">
            <w:pPr>
              <w:spacing w:after="0" w:line="240" w:lineRule="auto"/>
              <w:rPr>
                <w:rFonts w:eastAsia="Times New Roman"/>
                <w:color w:val="000000"/>
                <w:kern w:val="0"/>
                <w:szCs w:val="22"/>
                <w:lang w:val="en-ID" w:eastAsia="en-ID"/>
                <w14:ligatures w14:val="none"/>
              </w:rPr>
            </w:pPr>
          </w:p>
        </w:tc>
      </w:tr>
    </w:tbl>
    <w:p w14:paraId="537A0991" w14:textId="77777777" w:rsidR="004032AA" w:rsidRPr="00AB2742" w:rsidRDefault="004032AA" w:rsidP="004032AA">
      <w:pPr>
        <w:jc w:val="both"/>
        <w:rPr>
          <w:b/>
          <w:bCs/>
          <w:szCs w:val="22"/>
          <w:lang w:val="sv-SE"/>
        </w:rPr>
      </w:pPr>
      <w:r w:rsidRPr="00AB2742">
        <w:rPr>
          <w:b/>
          <w:bCs/>
          <w:szCs w:val="22"/>
          <w:lang w:val="sv-SE"/>
        </w:rPr>
        <w:t>5. Analisis CSA berdasarkan Jenis Kelamin dan Diabetes Mellitus</w:t>
      </w:r>
    </w:p>
    <w:p w14:paraId="1807954F" w14:textId="0BCDCEBB" w:rsidR="007558B0" w:rsidRPr="00AB2742" w:rsidRDefault="004032AA" w:rsidP="004032AA">
      <w:pPr>
        <w:jc w:val="both"/>
        <w:rPr>
          <w:szCs w:val="22"/>
          <w:lang w:val="sv-SE"/>
        </w:rPr>
      </w:pPr>
      <w:r w:rsidRPr="00AB2742">
        <w:rPr>
          <w:szCs w:val="22"/>
          <w:lang w:val="sv-SE"/>
        </w:rPr>
        <w:t>Perbedaan CSA berdasarkan jenis kelamin dan status diabetes mellitus dianalisis menggunakan uji t independen. Rata-rata CSA pada laki-laki lebih tinggi (36,15 ± 5,10) dibandingkan perempuan (34,29 ± 4,49), tetapi perbedaan tersebut tidak signifikan (p=0,213). Demikian pula, CSA pada responden tanpa diabetes mellitus (35,39 ± 4,21) lebih tinggi dibandingkan dengan yang memiliki diabetes mellitus (33,71 ± 5,24), namun perbedaan ini juga tidak signifikan (p=0,200). Dengan demikian, CSA tidak dipengaruhi oleh jenis kelamin maupun status diabetes mellitus.</w:t>
      </w:r>
    </w:p>
    <w:p w14:paraId="17188798" w14:textId="3D5CEA59" w:rsidR="008F2F87" w:rsidRPr="00AB2742" w:rsidRDefault="008F2F87" w:rsidP="008F2F87">
      <w:pPr>
        <w:rPr>
          <w:szCs w:val="22"/>
          <w:lang w:val="en-ID"/>
        </w:rPr>
      </w:pPr>
      <w:r w:rsidRPr="00AB2742">
        <w:rPr>
          <w:noProof/>
          <w:szCs w:val="22"/>
          <w:lang w:val="en-ID"/>
        </w:rPr>
        <w:drawing>
          <wp:inline distT="0" distB="0" distL="0" distR="0" wp14:anchorId="525EBA29" wp14:editId="05162382">
            <wp:extent cx="5731510" cy="3369945"/>
            <wp:effectExtent l="0" t="0" r="2540" b="1905"/>
            <wp:docPr id="4586536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369945"/>
                    </a:xfrm>
                    <a:prstGeom prst="rect">
                      <a:avLst/>
                    </a:prstGeom>
                    <a:noFill/>
                    <a:ln>
                      <a:noFill/>
                    </a:ln>
                  </pic:spPr>
                </pic:pic>
              </a:graphicData>
            </a:graphic>
          </wp:inline>
        </w:drawing>
      </w:r>
    </w:p>
    <w:p w14:paraId="335C738F" w14:textId="45DDF08E" w:rsidR="00AD6A6F" w:rsidRPr="008F2F87" w:rsidRDefault="00AD6A6F" w:rsidP="00AD6A6F">
      <w:pPr>
        <w:jc w:val="center"/>
        <w:rPr>
          <w:szCs w:val="22"/>
          <w:lang w:val="en-ID"/>
        </w:rPr>
      </w:pPr>
      <w:r w:rsidRPr="00AB2742">
        <w:rPr>
          <w:szCs w:val="22"/>
        </w:rPr>
        <w:t>The ROC curve for the CSA as a predictor.</w:t>
      </w:r>
    </w:p>
    <w:p w14:paraId="308A015B" w14:textId="77777777" w:rsidR="00F10811" w:rsidRPr="00AB2742" w:rsidRDefault="00F10811" w:rsidP="00F10811">
      <w:pPr>
        <w:jc w:val="both"/>
        <w:rPr>
          <w:b/>
          <w:bCs/>
          <w:szCs w:val="22"/>
        </w:rPr>
      </w:pPr>
      <w:r w:rsidRPr="00AB2742">
        <w:rPr>
          <w:b/>
          <w:bCs/>
          <w:szCs w:val="22"/>
        </w:rPr>
        <w:t>6. Analisis Kurva ROC</w:t>
      </w:r>
    </w:p>
    <w:p w14:paraId="23169DC0" w14:textId="3962BDE0" w:rsidR="008F2F87" w:rsidRPr="008F2F87" w:rsidRDefault="00F10811" w:rsidP="00F10811">
      <w:pPr>
        <w:jc w:val="both"/>
        <w:rPr>
          <w:szCs w:val="22"/>
          <w:lang w:val="sv-SE"/>
        </w:rPr>
      </w:pPr>
      <w:r w:rsidRPr="00AB2742">
        <w:rPr>
          <w:szCs w:val="22"/>
        </w:rPr>
        <w:t xml:space="preserve">Hasil analisis diagnostik menggunakan Receiver Operating Characteristic (ROC) curve menunjukkan bahwa CSA memiliki kemampuan diskriminatif yang sangat baik dalam membedakan antara kasus RCT dan Frozen Shoulder. </w:t>
      </w:r>
      <w:r w:rsidRPr="00AB2742">
        <w:rPr>
          <w:szCs w:val="22"/>
          <w:lang w:val="sv-SE"/>
        </w:rPr>
        <w:t>Nilai Area Under Curve (AUC) diperoleh sebesar 0,912, yang berada pada kategori “sangat baik”. Nilai ini mengindikasikan bahwa CSA mampu memprediksi kejadian RCT dengan akurasi tinggi dibandingkan prediksi acak, sehingga CSA dapat dipertimbangkan sebagai parameter klinis yang penting untuk membedakan kedua kondisi tersebut.</w:t>
      </w:r>
    </w:p>
    <w:p w14:paraId="35AE85D3" w14:textId="77777777" w:rsidR="008F2F87" w:rsidRPr="008F2F87" w:rsidRDefault="008F2F87" w:rsidP="008F2F87">
      <w:pPr>
        <w:rPr>
          <w:szCs w:val="22"/>
          <w:lang w:val="sv-SE"/>
        </w:rPr>
      </w:pPr>
    </w:p>
    <w:p w14:paraId="617DC46B" w14:textId="77777777" w:rsidR="00B752E3" w:rsidRPr="00AB2742" w:rsidRDefault="00B752E3">
      <w:pPr>
        <w:rPr>
          <w:szCs w:val="22"/>
          <w:lang w:val="sv-SE"/>
        </w:rPr>
      </w:pPr>
    </w:p>
    <w:sectPr w:rsidR="00B752E3" w:rsidRPr="00AB2742"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A5608E"/>
    <w:rsid w:val="00005E2B"/>
    <w:rsid w:val="0002025A"/>
    <w:rsid w:val="000970CA"/>
    <w:rsid w:val="00097DA4"/>
    <w:rsid w:val="000B74C3"/>
    <w:rsid w:val="00180220"/>
    <w:rsid w:val="00181AF3"/>
    <w:rsid w:val="001A4941"/>
    <w:rsid w:val="001A5CA3"/>
    <w:rsid w:val="00250F61"/>
    <w:rsid w:val="002B6192"/>
    <w:rsid w:val="002E7205"/>
    <w:rsid w:val="003D2E26"/>
    <w:rsid w:val="004032AA"/>
    <w:rsid w:val="00416625"/>
    <w:rsid w:val="0043343B"/>
    <w:rsid w:val="00482305"/>
    <w:rsid w:val="004A1566"/>
    <w:rsid w:val="004E1E02"/>
    <w:rsid w:val="00534D3E"/>
    <w:rsid w:val="00540355"/>
    <w:rsid w:val="005B72BC"/>
    <w:rsid w:val="005F5856"/>
    <w:rsid w:val="0060540E"/>
    <w:rsid w:val="006F3802"/>
    <w:rsid w:val="0070696F"/>
    <w:rsid w:val="00711643"/>
    <w:rsid w:val="007558B0"/>
    <w:rsid w:val="007637E4"/>
    <w:rsid w:val="00795571"/>
    <w:rsid w:val="007F3A6A"/>
    <w:rsid w:val="00891988"/>
    <w:rsid w:val="008A189F"/>
    <w:rsid w:val="008B6DEC"/>
    <w:rsid w:val="008F2F87"/>
    <w:rsid w:val="00935FF2"/>
    <w:rsid w:val="00985BDE"/>
    <w:rsid w:val="009A3C9F"/>
    <w:rsid w:val="009D6ED7"/>
    <w:rsid w:val="00A24498"/>
    <w:rsid w:val="00A5608E"/>
    <w:rsid w:val="00AB2742"/>
    <w:rsid w:val="00AB7003"/>
    <w:rsid w:val="00AC2A8A"/>
    <w:rsid w:val="00AD3E3E"/>
    <w:rsid w:val="00AD6A6F"/>
    <w:rsid w:val="00B71AE6"/>
    <w:rsid w:val="00B752E3"/>
    <w:rsid w:val="00BD6E81"/>
    <w:rsid w:val="00C26297"/>
    <w:rsid w:val="00C43BE8"/>
    <w:rsid w:val="00C5744E"/>
    <w:rsid w:val="00C916FA"/>
    <w:rsid w:val="00D13251"/>
    <w:rsid w:val="00D260D5"/>
    <w:rsid w:val="00DA65AC"/>
    <w:rsid w:val="00DB5C91"/>
    <w:rsid w:val="00E26DA8"/>
    <w:rsid w:val="00F10811"/>
    <w:rsid w:val="00F15036"/>
    <w:rsid w:val="00F34941"/>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CB2B6"/>
  <w15:chartTrackingRefBased/>
  <w15:docId w15:val="{0ECC5571-96B8-4575-A989-89947AD22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A5608E"/>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A5608E"/>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A5608E"/>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5608E"/>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5608E"/>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5608E"/>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A5608E"/>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A5608E"/>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A5608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5608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5608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5608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560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60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608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608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5608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5608E"/>
    <w:rPr>
      <w:i/>
      <w:iCs/>
      <w:color w:val="404040" w:themeColor="text1" w:themeTint="BF"/>
    </w:rPr>
  </w:style>
  <w:style w:type="paragraph" w:styleId="ListParagraph">
    <w:name w:val="List Paragraph"/>
    <w:basedOn w:val="Normal"/>
    <w:uiPriority w:val="34"/>
    <w:qFormat/>
    <w:rsid w:val="00A5608E"/>
    <w:pPr>
      <w:ind w:left="720"/>
      <w:contextualSpacing/>
    </w:pPr>
  </w:style>
  <w:style w:type="character" w:styleId="IntenseEmphasis">
    <w:name w:val="Intense Emphasis"/>
    <w:basedOn w:val="DefaultParagraphFont"/>
    <w:uiPriority w:val="21"/>
    <w:qFormat/>
    <w:rsid w:val="00A5608E"/>
    <w:rPr>
      <w:i/>
      <w:iCs/>
      <w:color w:val="365F91" w:themeColor="accent1" w:themeShade="BF"/>
    </w:rPr>
  </w:style>
  <w:style w:type="paragraph" w:styleId="IntenseQuote">
    <w:name w:val="Intense Quote"/>
    <w:basedOn w:val="Normal"/>
    <w:next w:val="Normal"/>
    <w:link w:val="IntenseQuoteChar"/>
    <w:uiPriority w:val="30"/>
    <w:qFormat/>
    <w:rsid w:val="00A5608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A5608E"/>
    <w:rPr>
      <w:i/>
      <w:iCs/>
      <w:color w:val="365F91" w:themeColor="accent1" w:themeShade="BF"/>
    </w:rPr>
  </w:style>
  <w:style w:type="character" w:styleId="IntenseReference">
    <w:name w:val="Intense Reference"/>
    <w:basedOn w:val="DefaultParagraphFont"/>
    <w:uiPriority w:val="32"/>
    <w:qFormat/>
    <w:rsid w:val="00A5608E"/>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microsoft.com/office/2014/relationships/chartEx" Target="charts/chartEx1.xml"/><Relationship Id="rId11" Type="http://schemas.openxmlformats.org/officeDocument/2006/relationships/theme" Target="theme/theme1.xml"/><Relationship Id="rId5" Type="http://schemas.openxmlformats.org/officeDocument/2006/relationships/chart" Target="charts/chart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Ex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E:\01%20JOKI%20TA\02%20Sisi%20Statistik\05%20Dewa\Hasi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D"/>
              <a:t>CSA versus</a:t>
            </a:r>
            <a:r>
              <a:rPr lang="en-ID" baseline="0"/>
              <a:t> Age and BMI</a:t>
            </a:r>
            <a:endParaRPr lang="en-ID"/>
          </a:p>
        </c:rich>
      </c:tx>
      <c:layout>
        <c:manualLayout>
          <c:xMode val="edge"/>
          <c:yMode val="edge"/>
          <c:x val="0.29828314665561512"/>
          <c:y val="3.2398195576696175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ID"/>
        </a:p>
      </c:txPr>
    </c:title>
    <c:autoTitleDeleted val="0"/>
    <c:plotArea>
      <c:layout/>
      <c:scatterChart>
        <c:scatterStyle val="lineMarker"/>
        <c:varyColors val="0"/>
        <c:ser>
          <c:idx val="0"/>
          <c:order val="0"/>
          <c:tx>
            <c:strRef>
              <c:f>'Data Rekap'!$E$1</c:f>
              <c:strCache>
                <c:ptCount val="1"/>
                <c:pt idx="0">
                  <c:v>Age</c:v>
                </c:pt>
              </c:strCache>
            </c:strRef>
          </c:tx>
          <c:spPr>
            <a:ln w="381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0"/>
            <c:trendlineLbl>
              <c:layout>
                <c:manualLayout>
                  <c:x val="-4.0854609503659031E-3"/>
                  <c:y val="-7.7755451089453864E-2"/>
                </c:manualLayout>
              </c:layout>
              <c:numFmt formatCode="General" sourceLinked="0"/>
              <c:spPr>
                <a:noFill/>
                <a:ln>
                  <a:noFill/>
                </a:ln>
                <a:effectLst/>
              </c:spPr>
              <c:txPr>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rendlineLbl>
          </c:trendline>
          <c:xVal>
            <c:numRef>
              <c:f>'Data Rekap'!$D$2:$D$55</c:f>
              <c:numCache>
                <c:formatCode>General</c:formatCode>
                <c:ptCount val="54"/>
                <c:pt idx="0">
                  <c:v>37</c:v>
                </c:pt>
                <c:pt idx="1">
                  <c:v>28</c:v>
                </c:pt>
                <c:pt idx="2">
                  <c:v>35</c:v>
                </c:pt>
                <c:pt idx="3">
                  <c:v>36</c:v>
                </c:pt>
                <c:pt idx="4">
                  <c:v>32</c:v>
                </c:pt>
                <c:pt idx="5">
                  <c:v>37</c:v>
                </c:pt>
                <c:pt idx="6">
                  <c:v>43</c:v>
                </c:pt>
                <c:pt idx="7">
                  <c:v>39</c:v>
                </c:pt>
                <c:pt idx="8">
                  <c:v>39</c:v>
                </c:pt>
                <c:pt idx="9">
                  <c:v>37</c:v>
                </c:pt>
                <c:pt idx="10">
                  <c:v>36</c:v>
                </c:pt>
                <c:pt idx="11">
                  <c:v>37</c:v>
                </c:pt>
                <c:pt idx="12">
                  <c:v>42</c:v>
                </c:pt>
                <c:pt idx="13">
                  <c:v>37</c:v>
                </c:pt>
                <c:pt idx="14">
                  <c:v>38</c:v>
                </c:pt>
                <c:pt idx="15">
                  <c:v>39</c:v>
                </c:pt>
                <c:pt idx="16">
                  <c:v>40</c:v>
                </c:pt>
                <c:pt idx="17">
                  <c:v>50</c:v>
                </c:pt>
                <c:pt idx="18">
                  <c:v>37</c:v>
                </c:pt>
                <c:pt idx="19">
                  <c:v>43</c:v>
                </c:pt>
                <c:pt idx="20">
                  <c:v>32</c:v>
                </c:pt>
                <c:pt idx="21">
                  <c:v>40</c:v>
                </c:pt>
                <c:pt idx="22">
                  <c:v>34</c:v>
                </c:pt>
                <c:pt idx="23">
                  <c:v>37</c:v>
                </c:pt>
                <c:pt idx="24">
                  <c:v>39</c:v>
                </c:pt>
                <c:pt idx="25">
                  <c:v>38</c:v>
                </c:pt>
                <c:pt idx="26">
                  <c:v>39</c:v>
                </c:pt>
                <c:pt idx="27">
                  <c:v>33</c:v>
                </c:pt>
                <c:pt idx="28">
                  <c:v>32</c:v>
                </c:pt>
                <c:pt idx="29">
                  <c:v>28</c:v>
                </c:pt>
                <c:pt idx="30">
                  <c:v>36</c:v>
                </c:pt>
                <c:pt idx="31">
                  <c:v>34</c:v>
                </c:pt>
                <c:pt idx="32">
                  <c:v>31</c:v>
                </c:pt>
                <c:pt idx="33">
                  <c:v>31</c:v>
                </c:pt>
                <c:pt idx="34">
                  <c:v>32</c:v>
                </c:pt>
                <c:pt idx="35">
                  <c:v>36</c:v>
                </c:pt>
                <c:pt idx="36">
                  <c:v>35</c:v>
                </c:pt>
                <c:pt idx="37">
                  <c:v>34</c:v>
                </c:pt>
                <c:pt idx="38">
                  <c:v>29</c:v>
                </c:pt>
                <c:pt idx="39">
                  <c:v>28</c:v>
                </c:pt>
                <c:pt idx="40">
                  <c:v>32</c:v>
                </c:pt>
                <c:pt idx="41">
                  <c:v>29</c:v>
                </c:pt>
                <c:pt idx="42">
                  <c:v>31</c:v>
                </c:pt>
                <c:pt idx="43">
                  <c:v>29</c:v>
                </c:pt>
                <c:pt idx="44">
                  <c:v>33</c:v>
                </c:pt>
                <c:pt idx="45">
                  <c:v>35</c:v>
                </c:pt>
                <c:pt idx="46">
                  <c:v>33</c:v>
                </c:pt>
                <c:pt idx="47">
                  <c:v>29</c:v>
                </c:pt>
                <c:pt idx="48">
                  <c:v>27</c:v>
                </c:pt>
                <c:pt idx="49">
                  <c:v>29</c:v>
                </c:pt>
                <c:pt idx="50">
                  <c:v>30</c:v>
                </c:pt>
                <c:pt idx="51">
                  <c:v>28</c:v>
                </c:pt>
                <c:pt idx="52">
                  <c:v>35</c:v>
                </c:pt>
                <c:pt idx="53">
                  <c:v>36</c:v>
                </c:pt>
              </c:numCache>
            </c:numRef>
          </c:xVal>
          <c:yVal>
            <c:numRef>
              <c:f>'Data Rekap'!$E$2:$E$55</c:f>
              <c:numCache>
                <c:formatCode>General</c:formatCode>
                <c:ptCount val="54"/>
                <c:pt idx="0">
                  <c:v>40</c:v>
                </c:pt>
                <c:pt idx="1">
                  <c:v>48</c:v>
                </c:pt>
                <c:pt idx="2">
                  <c:v>69</c:v>
                </c:pt>
                <c:pt idx="3">
                  <c:v>67</c:v>
                </c:pt>
                <c:pt idx="4">
                  <c:v>49</c:v>
                </c:pt>
                <c:pt idx="5">
                  <c:v>66</c:v>
                </c:pt>
                <c:pt idx="6">
                  <c:v>55</c:v>
                </c:pt>
                <c:pt idx="7">
                  <c:v>51</c:v>
                </c:pt>
                <c:pt idx="8">
                  <c:v>63</c:v>
                </c:pt>
                <c:pt idx="9">
                  <c:v>49</c:v>
                </c:pt>
                <c:pt idx="10">
                  <c:v>64</c:v>
                </c:pt>
                <c:pt idx="11">
                  <c:v>71</c:v>
                </c:pt>
                <c:pt idx="12">
                  <c:v>60</c:v>
                </c:pt>
                <c:pt idx="13">
                  <c:v>42</c:v>
                </c:pt>
                <c:pt idx="14">
                  <c:v>59</c:v>
                </c:pt>
                <c:pt idx="15">
                  <c:v>54</c:v>
                </c:pt>
                <c:pt idx="16">
                  <c:v>72</c:v>
                </c:pt>
                <c:pt idx="17">
                  <c:v>72</c:v>
                </c:pt>
                <c:pt idx="18">
                  <c:v>68</c:v>
                </c:pt>
                <c:pt idx="19">
                  <c:v>41</c:v>
                </c:pt>
                <c:pt idx="20">
                  <c:v>70</c:v>
                </c:pt>
                <c:pt idx="21">
                  <c:v>57</c:v>
                </c:pt>
                <c:pt idx="22">
                  <c:v>54</c:v>
                </c:pt>
                <c:pt idx="23">
                  <c:v>43</c:v>
                </c:pt>
                <c:pt idx="24">
                  <c:v>58</c:v>
                </c:pt>
                <c:pt idx="25">
                  <c:v>60</c:v>
                </c:pt>
                <c:pt idx="26">
                  <c:v>41</c:v>
                </c:pt>
                <c:pt idx="27">
                  <c:v>54</c:v>
                </c:pt>
                <c:pt idx="28">
                  <c:v>55</c:v>
                </c:pt>
                <c:pt idx="29">
                  <c:v>62</c:v>
                </c:pt>
                <c:pt idx="30">
                  <c:v>63</c:v>
                </c:pt>
                <c:pt idx="31">
                  <c:v>55</c:v>
                </c:pt>
                <c:pt idx="32">
                  <c:v>46</c:v>
                </c:pt>
                <c:pt idx="33">
                  <c:v>49</c:v>
                </c:pt>
                <c:pt idx="34">
                  <c:v>56</c:v>
                </c:pt>
                <c:pt idx="35">
                  <c:v>60</c:v>
                </c:pt>
                <c:pt idx="36">
                  <c:v>57</c:v>
                </c:pt>
                <c:pt idx="37">
                  <c:v>63</c:v>
                </c:pt>
                <c:pt idx="38">
                  <c:v>59</c:v>
                </c:pt>
                <c:pt idx="39">
                  <c:v>45</c:v>
                </c:pt>
                <c:pt idx="40">
                  <c:v>65</c:v>
                </c:pt>
                <c:pt idx="41">
                  <c:v>56</c:v>
                </c:pt>
                <c:pt idx="42">
                  <c:v>50</c:v>
                </c:pt>
                <c:pt idx="43">
                  <c:v>65</c:v>
                </c:pt>
                <c:pt idx="44">
                  <c:v>53</c:v>
                </c:pt>
                <c:pt idx="45">
                  <c:v>58</c:v>
                </c:pt>
                <c:pt idx="46">
                  <c:v>51</c:v>
                </c:pt>
                <c:pt idx="47">
                  <c:v>54</c:v>
                </c:pt>
                <c:pt idx="48">
                  <c:v>68</c:v>
                </c:pt>
                <c:pt idx="49">
                  <c:v>70</c:v>
                </c:pt>
                <c:pt idx="50">
                  <c:v>51</c:v>
                </c:pt>
                <c:pt idx="51">
                  <c:v>71</c:v>
                </c:pt>
                <c:pt idx="52">
                  <c:v>43</c:v>
                </c:pt>
                <c:pt idx="53">
                  <c:v>49</c:v>
                </c:pt>
              </c:numCache>
            </c:numRef>
          </c:yVal>
          <c:smooth val="0"/>
          <c:extLst>
            <c:ext xmlns:c16="http://schemas.microsoft.com/office/drawing/2014/chart" uri="{C3380CC4-5D6E-409C-BE32-E72D297353CC}">
              <c16:uniqueId val="{00000001-FB11-40DC-BFAA-A6F7471D7C46}"/>
            </c:ext>
          </c:extLst>
        </c:ser>
        <c:ser>
          <c:idx val="1"/>
          <c:order val="1"/>
          <c:tx>
            <c:strRef>
              <c:f>'Data Rekap'!$J$1</c:f>
              <c:strCache>
                <c:ptCount val="1"/>
                <c:pt idx="0">
                  <c:v>BMI</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1.3152872146666521E-3"/>
                  <c:y val="5.1875532775299528E-2"/>
                </c:manualLayout>
              </c:layout>
              <c:numFmt formatCode="General" sourceLinked="0"/>
              <c:spPr>
                <a:noFill/>
                <a:ln>
                  <a:noFill/>
                </a:ln>
                <a:effectLst/>
              </c:spPr>
              <c:txPr>
                <a:bodyPr rot="0" spcFirstLastPara="1" vertOverflow="ellipsis" vert="horz" wrap="square" anchor="ctr" anchorCtr="1"/>
                <a:lstStyle/>
                <a:p>
                  <a:pPr>
                    <a:defRPr sz="900" b="1" i="0" u="none" strike="noStrike" kern="1200" baseline="0">
                      <a:solidFill>
                        <a:schemeClr val="accent2"/>
                      </a:solidFill>
                      <a:latin typeface="+mn-lt"/>
                      <a:ea typeface="+mn-ea"/>
                      <a:cs typeface="+mn-cs"/>
                    </a:defRPr>
                  </a:pPr>
                  <a:endParaRPr lang="en-US"/>
                </a:p>
              </c:txPr>
            </c:trendlineLbl>
          </c:trendline>
          <c:xVal>
            <c:numRef>
              <c:f>'Data Rekap'!$D$2:$D$55</c:f>
              <c:numCache>
                <c:formatCode>General</c:formatCode>
                <c:ptCount val="54"/>
                <c:pt idx="0">
                  <c:v>37</c:v>
                </c:pt>
                <c:pt idx="1">
                  <c:v>28</c:v>
                </c:pt>
                <c:pt idx="2">
                  <c:v>35</c:v>
                </c:pt>
                <c:pt idx="3">
                  <c:v>36</c:v>
                </c:pt>
                <c:pt idx="4">
                  <c:v>32</c:v>
                </c:pt>
                <c:pt idx="5">
                  <c:v>37</c:v>
                </c:pt>
                <c:pt idx="6">
                  <c:v>43</c:v>
                </c:pt>
                <c:pt idx="7">
                  <c:v>39</c:v>
                </c:pt>
                <c:pt idx="8">
                  <c:v>39</c:v>
                </c:pt>
                <c:pt idx="9">
                  <c:v>37</c:v>
                </c:pt>
                <c:pt idx="10">
                  <c:v>36</c:v>
                </c:pt>
                <c:pt idx="11">
                  <c:v>37</c:v>
                </c:pt>
                <c:pt idx="12">
                  <c:v>42</c:v>
                </c:pt>
                <c:pt idx="13">
                  <c:v>37</c:v>
                </c:pt>
                <c:pt idx="14">
                  <c:v>38</c:v>
                </c:pt>
                <c:pt idx="15">
                  <c:v>39</c:v>
                </c:pt>
                <c:pt idx="16">
                  <c:v>40</c:v>
                </c:pt>
                <c:pt idx="17">
                  <c:v>50</c:v>
                </c:pt>
                <c:pt idx="18">
                  <c:v>37</c:v>
                </c:pt>
                <c:pt idx="19">
                  <c:v>43</c:v>
                </c:pt>
                <c:pt idx="20">
                  <c:v>32</c:v>
                </c:pt>
                <c:pt idx="21">
                  <c:v>40</c:v>
                </c:pt>
                <c:pt idx="22">
                  <c:v>34</c:v>
                </c:pt>
                <c:pt idx="23">
                  <c:v>37</c:v>
                </c:pt>
                <c:pt idx="24">
                  <c:v>39</c:v>
                </c:pt>
                <c:pt idx="25">
                  <c:v>38</c:v>
                </c:pt>
                <c:pt idx="26">
                  <c:v>39</c:v>
                </c:pt>
                <c:pt idx="27">
                  <c:v>33</c:v>
                </c:pt>
                <c:pt idx="28">
                  <c:v>32</c:v>
                </c:pt>
                <c:pt idx="29">
                  <c:v>28</c:v>
                </c:pt>
                <c:pt idx="30">
                  <c:v>36</c:v>
                </c:pt>
                <c:pt idx="31">
                  <c:v>34</c:v>
                </c:pt>
                <c:pt idx="32">
                  <c:v>31</c:v>
                </c:pt>
                <c:pt idx="33">
                  <c:v>31</c:v>
                </c:pt>
                <c:pt idx="34">
                  <c:v>32</c:v>
                </c:pt>
                <c:pt idx="35">
                  <c:v>36</c:v>
                </c:pt>
                <c:pt idx="36">
                  <c:v>35</c:v>
                </c:pt>
                <c:pt idx="37">
                  <c:v>34</c:v>
                </c:pt>
                <c:pt idx="38">
                  <c:v>29</c:v>
                </c:pt>
                <c:pt idx="39">
                  <c:v>28</c:v>
                </c:pt>
                <c:pt idx="40">
                  <c:v>32</c:v>
                </c:pt>
                <c:pt idx="41">
                  <c:v>29</c:v>
                </c:pt>
                <c:pt idx="42">
                  <c:v>31</c:v>
                </c:pt>
                <c:pt idx="43">
                  <c:v>29</c:v>
                </c:pt>
                <c:pt idx="44">
                  <c:v>33</c:v>
                </c:pt>
                <c:pt idx="45">
                  <c:v>35</c:v>
                </c:pt>
                <c:pt idx="46">
                  <c:v>33</c:v>
                </c:pt>
                <c:pt idx="47">
                  <c:v>29</c:v>
                </c:pt>
                <c:pt idx="48">
                  <c:v>27</c:v>
                </c:pt>
                <c:pt idx="49">
                  <c:v>29</c:v>
                </c:pt>
                <c:pt idx="50">
                  <c:v>30</c:v>
                </c:pt>
                <c:pt idx="51">
                  <c:v>28</c:v>
                </c:pt>
                <c:pt idx="52">
                  <c:v>35</c:v>
                </c:pt>
                <c:pt idx="53">
                  <c:v>36</c:v>
                </c:pt>
              </c:numCache>
            </c:numRef>
          </c:xVal>
          <c:yVal>
            <c:numRef>
              <c:f>'Data Rekap'!$J$2:$J$55</c:f>
              <c:numCache>
                <c:formatCode>General</c:formatCode>
                <c:ptCount val="54"/>
                <c:pt idx="0">
                  <c:v>27.92</c:v>
                </c:pt>
                <c:pt idx="1">
                  <c:v>25.81</c:v>
                </c:pt>
                <c:pt idx="2">
                  <c:v>24.24</c:v>
                </c:pt>
                <c:pt idx="3">
                  <c:v>16.649999999999999</c:v>
                </c:pt>
                <c:pt idx="4">
                  <c:v>23.11</c:v>
                </c:pt>
                <c:pt idx="5">
                  <c:v>24.03</c:v>
                </c:pt>
                <c:pt idx="6">
                  <c:v>25.86</c:v>
                </c:pt>
                <c:pt idx="7">
                  <c:v>19.38</c:v>
                </c:pt>
                <c:pt idx="8">
                  <c:v>27.77</c:v>
                </c:pt>
                <c:pt idx="9">
                  <c:v>23.19</c:v>
                </c:pt>
                <c:pt idx="10">
                  <c:v>20.32</c:v>
                </c:pt>
                <c:pt idx="11">
                  <c:v>29.49</c:v>
                </c:pt>
                <c:pt idx="12">
                  <c:v>22.48</c:v>
                </c:pt>
                <c:pt idx="13">
                  <c:v>27.49</c:v>
                </c:pt>
                <c:pt idx="14">
                  <c:v>22.57</c:v>
                </c:pt>
                <c:pt idx="15">
                  <c:v>24.11</c:v>
                </c:pt>
                <c:pt idx="16">
                  <c:v>22.09</c:v>
                </c:pt>
                <c:pt idx="17">
                  <c:v>22.28</c:v>
                </c:pt>
                <c:pt idx="18">
                  <c:v>20.96</c:v>
                </c:pt>
                <c:pt idx="19">
                  <c:v>21.19</c:v>
                </c:pt>
                <c:pt idx="20">
                  <c:v>27.41</c:v>
                </c:pt>
                <c:pt idx="21">
                  <c:v>31.53</c:v>
                </c:pt>
                <c:pt idx="22">
                  <c:v>35.380000000000003</c:v>
                </c:pt>
                <c:pt idx="23">
                  <c:v>25.81</c:v>
                </c:pt>
                <c:pt idx="24">
                  <c:v>22.48</c:v>
                </c:pt>
                <c:pt idx="25">
                  <c:v>21.93</c:v>
                </c:pt>
                <c:pt idx="26">
                  <c:v>20.32</c:v>
                </c:pt>
                <c:pt idx="27">
                  <c:v>21.48</c:v>
                </c:pt>
                <c:pt idx="28">
                  <c:v>20.94</c:v>
                </c:pt>
                <c:pt idx="29">
                  <c:v>24.65</c:v>
                </c:pt>
                <c:pt idx="30">
                  <c:v>22.66</c:v>
                </c:pt>
                <c:pt idx="31">
                  <c:v>22.72</c:v>
                </c:pt>
                <c:pt idx="32">
                  <c:v>25.63</c:v>
                </c:pt>
                <c:pt idx="33">
                  <c:v>18.899999999999999</c:v>
                </c:pt>
                <c:pt idx="34">
                  <c:v>21.4</c:v>
                </c:pt>
                <c:pt idx="35">
                  <c:v>30.39</c:v>
                </c:pt>
                <c:pt idx="36">
                  <c:v>24.16</c:v>
                </c:pt>
                <c:pt idx="37">
                  <c:v>25.26</c:v>
                </c:pt>
                <c:pt idx="38">
                  <c:v>24.69</c:v>
                </c:pt>
                <c:pt idx="39">
                  <c:v>26.9</c:v>
                </c:pt>
                <c:pt idx="40">
                  <c:v>25.72</c:v>
                </c:pt>
                <c:pt idx="41">
                  <c:v>29.73</c:v>
                </c:pt>
                <c:pt idx="42">
                  <c:v>20.2</c:v>
                </c:pt>
                <c:pt idx="43">
                  <c:v>32.520000000000003</c:v>
                </c:pt>
                <c:pt idx="44">
                  <c:v>26.56</c:v>
                </c:pt>
                <c:pt idx="45">
                  <c:v>24.53</c:v>
                </c:pt>
                <c:pt idx="46">
                  <c:v>22.66</c:v>
                </c:pt>
                <c:pt idx="47">
                  <c:v>24.26</c:v>
                </c:pt>
                <c:pt idx="48">
                  <c:v>21.62</c:v>
                </c:pt>
                <c:pt idx="49">
                  <c:v>19.47</c:v>
                </c:pt>
                <c:pt idx="50">
                  <c:v>19.53</c:v>
                </c:pt>
                <c:pt idx="51">
                  <c:v>24.8</c:v>
                </c:pt>
                <c:pt idx="52">
                  <c:v>25.04</c:v>
                </c:pt>
                <c:pt idx="53">
                  <c:v>23.26</c:v>
                </c:pt>
              </c:numCache>
            </c:numRef>
          </c:yVal>
          <c:smooth val="0"/>
          <c:extLst>
            <c:ext xmlns:c16="http://schemas.microsoft.com/office/drawing/2014/chart" uri="{C3380CC4-5D6E-409C-BE32-E72D297353CC}">
              <c16:uniqueId val="{00000003-FB11-40DC-BFAA-A6F7471D7C46}"/>
            </c:ext>
          </c:extLst>
        </c:ser>
        <c:dLbls>
          <c:showLegendKey val="0"/>
          <c:showVal val="0"/>
          <c:showCatName val="0"/>
          <c:showSerName val="0"/>
          <c:showPercent val="0"/>
          <c:showBubbleSize val="0"/>
        </c:dLbls>
        <c:axId val="652960735"/>
        <c:axId val="652958335"/>
      </c:scatterChart>
      <c:valAx>
        <c:axId val="652960735"/>
        <c:scaling>
          <c:orientation val="minMax"/>
          <c:min val="20"/>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2958335"/>
        <c:crosses val="autoZero"/>
        <c:crossBetween val="midCat"/>
      </c:valAx>
      <c:valAx>
        <c:axId val="65295833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2960735"/>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D" sz="1400" b="0" i="0" u="none" strike="noStrike" baseline="0"/>
              <a:t>Cumulative Percentage of Cases and Controls by CSA Ranges</a:t>
            </a:r>
            <a:endParaRPr lang="en-ID"/>
          </a:p>
        </c:rich>
      </c:tx>
      <c:overlay val="0"/>
      <c:spPr>
        <a:noFill/>
        <a:ln>
          <a:noFill/>
        </a:ln>
        <a:effectLst/>
      </c:spPr>
    </c:title>
    <c:autoTitleDeleted val="0"/>
    <c:plotArea>
      <c:layout/>
      <c:barChart>
        <c:barDir val="col"/>
        <c:grouping val="clustered"/>
        <c:varyColors val="0"/>
        <c:ser>
          <c:idx val="2"/>
          <c:order val="0"/>
          <c:tx>
            <c:strRef>
              <c:f>'Data Rekap'!$Z$4</c:f>
              <c:strCache>
                <c:ptCount val="1"/>
                <c:pt idx="0">
                  <c:v>RCT</c:v>
                </c:pt>
              </c:strCache>
            </c:strRef>
          </c:tx>
          <c:spPr>
            <a:solidFill>
              <a:schemeClr val="accent1"/>
            </a:solidFill>
            <a:ln>
              <a:noFill/>
            </a:ln>
            <a:effectLst/>
          </c:spPr>
          <c:invertIfNegative val="0"/>
          <c:cat>
            <c:strRef>
              <c:f>'Data Rekap'!$AA$3:$AD$3</c:f>
              <c:strCache>
                <c:ptCount val="4"/>
                <c:pt idx="0">
                  <c:v>25-29.9</c:v>
                </c:pt>
                <c:pt idx="1">
                  <c:v>30-34.9</c:v>
                </c:pt>
                <c:pt idx="2">
                  <c:v>35-39.9</c:v>
                </c:pt>
                <c:pt idx="3">
                  <c:v>&gt;40</c:v>
                </c:pt>
              </c:strCache>
            </c:strRef>
          </c:cat>
          <c:val>
            <c:numRef>
              <c:f>'Data Rekap'!$AA$4:$AD$4</c:f>
              <c:numCache>
                <c:formatCode>General</c:formatCode>
                <c:ptCount val="4"/>
                <c:pt idx="0">
                  <c:v>1</c:v>
                </c:pt>
                <c:pt idx="1">
                  <c:v>3</c:v>
                </c:pt>
                <c:pt idx="2">
                  <c:v>17</c:v>
                </c:pt>
                <c:pt idx="3">
                  <c:v>6</c:v>
                </c:pt>
              </c:numCache>
            </c:numRef>
          </c:val>
          <c:extLst>
            <c:ext xmlns:c16="http://schemas.microsoft.com/office/drawing/2014/chart" uri="{C3380CC4-5D6E-409C-BE32-E72D297353CC}">
              <c16:uniqueId val="{00000000-B0B4-47BA-B788-E750D8D3E9DD}"/>
            </c:ext>
          </c:extLst>
        </c:ser>
        <c:ser>
          <c:idx val="3"/>
          <c:order val="1"/>
          <c:tx>
            <c:strRef>
              <c:f>'Data Rekap'!$Z$5</c:f>
              <c:strCache>
                <c:ptCount val="1"/>
                <c:pt idx="0">
                  <c:v>Frozen Shoulder</c:v>
                </c:pt>
              </c:strCache>
            </c:strRef>
          </c:tx>
          <c:spPr>
            <a:solidFill>
              <a:schemeClr val="accent2"/>
            </a:solidFill>
            <a:ln>
              <a:noFill/>
            </a:ln>
            <a:effectLst/>
          </c:spPr>
          <c:invertIfNegative val="0"/>
          <c:cat>
            <c:strRef>
              <c:f>'Data Rekap'!$AA$3:$AD$3</c:f>
              <c:strCache>
                <c:ptCount val="4"/>
                <c:pt idx="0">
                  <c:v>25-29.9</c:v>
                </c:pt>
                <c:pt idx="1">
                  <c:v>30-34.9</c:v>
                </c:pt>
                <c:pt idx="2">
                  <c:v>35-39.9</c:v>
                </c:pt>
                <c:pt idx="3">
                  <c:v>&gt;40</c:v>
                </c:pt>
              </c:strCache>
            </c:strRef>
          </c:cat>
          <c:val>
            <c:numRef>
              <c:f>'Data Rekap'!$AA$5:$AD$5</c:f>
              <c:numCache>
                <c:formatCode>General</c:formatCode>
                <c:ptCount val="4"/>
                <c:pt idx="0">
                  <c:v>9</c:v>
                </c:pt>
                <c:pt idx="1">
                  <c:v>12</c:v>
                </c:pt>
                <c:pt idx="2">
                  <c:v>6</c:v>
                </c:pt>
                <c:pt idx="3">
                  <c:v>0</c:v>
                </c:pt>
              </c:numCache>
            </c:numRef>
          </c:val>
          <c:extLst>
            <c:ext xmlns:c16="http://schemas.microsoft.com/office/drawing/2014/chart" uri="{C3380CC4-5D6E-409C-BE32-E72D297353CC}">
              <c16:uniqueId val="{00000001-B0B4-47BA-B788-E750D8D3E9DD}"/>
            </c:ext>
          </c:extLst>
        </c:ser>
        <c:dLbls>
          <c:showLegendKey val="0"/>
          <c:showVal val="0"/>
          <c:showCatName val="0"/>
          <c:showSerName val="0"/>
          <c:showPercent val="0"/>
          <c:showBubbleSize val="0"/>
        </c:dLbls>
        <c:gapWidth val="219"/>
        <c:overlap val="-27"/>
        <c:axId val="1155664127"/>
        <c:axId val="1155665567"/>
      </c:barChart>
      <c:lineChart>
        <c:grouping val="standard"/>
        <c:varyColors val="0"/>
        <c:ser>
          <c:idx val="0"/>
          <c:order val="2"/>
          <c:tx>
            <c:strRef>
              <c:f>'Data Rekap'!$Z$12</c:f>
              <c:strCache>
                <c:ptCount val="1"/>
                <c:pt idx="0">
                  <c:v>Cum Asc</c:v>
                </c:pt>
              </c:strCache>
            </c:strRef>
          </c:tx>
          <c:spPr>
            <a:effectLst/>
          </c:spPr>
          <c:marker>
            <c:symbol val="none"/>
          </c:marker>
          <c:cat>
            <c:strRef>
              <c:f>'Data Rekap'!$AA$3:$AD$3</c:f>
              <c:strCache>
                <c:ptCount val="4"/>
                <c:pt idx="0">
                  <c:v>25-29.9</c:v>
                </c:pt>
                <c:pt idx="1">
                  <c:v>30-34.9</c:v>
                </c:pt>
                <c:pt idx="2">
                  <c:v>35-39.9</c:v>
                </c:pt>
                <c:pt idx="3">
                  <c:v>&gt;40</c:v>
                </c:pt>
              </c:strCache>
            </c:strRef>
          </c:cat>
          <c:val>
            <c:numRef>
              <c:f>'Data Rekap'!$AA$12:$AD$12</c:f>
              <c:numCache>
                <c:formatCode>0%</c:formatCode>
                <c:ptCount val="4"/>
                <c:pt idx="0">
                  <c:v>0.18518518518518517</c:v>
                </c:pt>
                <c:pt idx="1">
                  <c:v>0.46296296296296297</c:v>
                </c:pt>
                <c:pt idx="2">
                  <c:v>0.88888888888888884</c:v>
                </c:pt>
                <c:pt idx="3">
                  <c:v>1</c:v>
                </c:pt>
              </c:numCache>
            </c:numRef>
          </c:val>
          <c:smooth val="0"/>
          <c:extLst>
            <c:ext xmlns:c16="http://schemas.microsoft.com/office/drawing/2014/chart" uri="{C3380CC4-5D6E-409C-BE32-E72D297353CC}">
              <c16:uniqueId val="{00000002-B0B4-47BA-B788-E750D8D3E9DD}"/>
            </c:ext>
          </c:extLst>
        </c:ser>
        <c:ser>
          <c:idx val="1"/>
          <c:order val="3"/>
          <c:tx>
            <c:strRef>
              <c:f>'Data Rekap'!$Z$13</c:f>
              <c:strCache>
                <c:ptCount val="1"/>
                <c:pt idx="0">
                  <c:v>Cum Des</c:v>
                </c:pt>
              </c:strCache>
            </c:strRef>
          </c:tx>
          <c:spPr>
            <a:effectLst/>
          </c:spPr>
          <c:marker>
            <c:symbol val="none"/>
          </c:marker>
          <c:cat>
            <c:strRef>
              <c:f>'Data Rekap'!$AA$3:$AD$3</c:f>
              <c:strCache>
                <c:ptCount val="4"/>
                <c:pt idx="0">
                  <c:v>25-29.9</c:v>
                </c:pt>
                <c:pt idx="1">
                  <c:v>30-34.9</c:v>
                </c:pt>
                <c:pt idx="2">
                  <c:v>35-39.9</c:v>
                </c:pt>
                <c:pt idx="3">
                  <c:v>&gt;40</c:v>
                </c:pt>
              </c:strCache>
            </c:strRef>
          </c:cat>
          <c:val>
            <c:numRef>
              <c:f>'Data Rekap'!$AA$13:$AD$13</c:f>
              <c:numCache>
                <c:formatCode>0%</c:formatCode>
                <c:ptCount val="4"/>
                <c:pt idx="0">
                  <c:v>1</c:v>
                </c:pt>
                <c:pt idx="1">
                  <c:v>0.81481481481481477</c:v>
                </c:pt>
                <c:pt idx="2">
                  <c:v>0.53703703703703709</c:v>
                </c:pt>
                <c:pt idx="3">
                  <c:v>0.1111111111111111</c:v>
                </c:pt>
              </c:numCache>
            </c:numRef>
          </c:val>
          <c:smooth val="0"/>
          <c:extLst>
            <c:ext xmlns:c16="http://schemas.microsoft.com/office/drawing/2014/chart" uri="{C3380CC4-5D6E-409C-BE32-E72D297353CC}">
              <c16:uniqueId val="{00000003-B0B4-47BA-B788-E750D8D3E9DD}"/>
            </c:ext>
          </c:extLst>
        </c:ser>
        <c:dLbls>
          <c:showLegendKey val="0"/>
          <c:showVal val="0"/>
          <c:showCatName val="0"/>
          <c:showSerName val="0"/>
          <c:showPercent val="0"/>
          <c:showBubbleSize val="0"/>
        </c:dLbls>
        <c:marker val="1"/>
        <c:smooth val="0"/>
        <c:axId val="1619931359"/>
        <c:axId val="1619927519"/>
      </c:lineChart>
      <c:catAx>
        <c:axId val="115566412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55665567"/>
        <c:crosses val="autoZero"/>
        <c:auto val="1"/>
        <c:lblAlgn val="ctr"/>
        <c:lblOffset val="100"/>
        <c:noMultiLvlLbl val="0"/>
      </c:catAx>
      <c:valAx>
        <c:axId val="115566556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55664127"/>
        <c:crosses val="autoZero"/>
        <c:crossBetween val="between"/>
      </c:valAx>
      <c:valAx>
        <c:axId val="1619927519"/>
        <c:scaling>
          <c:orientation val="minMax"/>
          <c:max val="1"/>
        </c:scaling>
        <c:delete val="0"/>
        <c:axPos val="r"/>
        <c:numFmt formatCode="0%" sourceLinked="1"/>
        <c:majorTickMark val="out"/>
        <c:minorTickMark val="none"/>
        <c:tickLblPos val="nextTo"/>
        <c:crossAx val="1619931359"/>
        <c:crosses val="max"/>
        <c:crossBetween val="between"/>
      </c:valAx>
      <c:catAx>
        <c:axId val="1619931359"/>
        <c:scaling>
          <c:orientation val="minMax"/>
        </c:scaling>
        <c:delete val="1"/>
        <c:axPos val="b"/>
        <c:numFmt formatCode="General" sourceLinked="1"/>
        <c:majorTickMark val="out"/>
        <c:minorTickMark val="none"/>
        <c:tickLblPos val="nextTo"/>
        <c:crossAx val="1619927519"/>
        <c:crosses val="autoZero"/>
        <c:auto val="1"/>
        <c:lblAlgn val="ctr"/>
        <c:lblOffset val="100"/>
        <c:noMultiLvlLbl val="0"/>
      </c:catAx>
    </c:plotArea>
    <c:legend>
      <c:legendPos val="b"/>
      <c:overlay val="0"/>
    </c:legend>
    <c:plotVisOnly val="1"/>
    <c:dispBlanksAs val="gap"/>
    <c:showDLblsOverMax val="0"/>
    <c:extLst/>
  </c:chart>
  <c:txPr>
    <a:bodyPr/>
    <a:lstStyle/>
    <a:p>
      <a:pPr>
        <a:defRPr/>
      </a:pPr>
      <a:endParaRPr lang="en-US"/>
    </a:p>
  </c:txPr>
  <c:externalData r:id="rId2">
    <c:autoUpdate val="0"/>
  </c:externalData>
</c:chartSpace>
</file>

<file path=word/charts/chartEx1.xml><?xml version="1.0" encoding="utf-8"?>
<cx:chartSpace xmlns:a="http://schemas.openxmlformats.org/drawingml/2006/main" xmlns:r="http://schemas.openxmlformats.org/officeDocument/2006/relationships" xmlns:cx="http://schemas.microsoft.com/office/drawing/2014/chartex">
  <cx:chartData>
    <cx:externalData r:id="rId1" cx:autoUpdate="0"/>
    <cx:data id="0">
      <cx:strDim type="cat">
        <cx:f>'Data Rekap'!$C$2:$C$55</cx:f>
        <cx:lvl ptCount="54">
          <cx:pt idx="0">RCT</cx:pt>
          <cx:pt idx="1">RCT</cx:pt>
          <cx:pt idx="2">RCT</cx:pt>
          <cx:pt idx="3">RCT</cx:pt>
          <cx:pt idx="4">RCT</cx:pt>
          <cx:pt idx="5">RCT</cx:pt>
          <cx:pt idx="6">RCT</cx:pt>
          <cx:pt idx="7">RCT</cx:pt>
          <cx:pt idx="8">RCT</cx:pt>
          <cx:pt idx="9">RCT</cx:pt>
          <cx:pt idx="10">RCT</cx:pt>
          <cx:pt idx="11">RCT</cx:pt>
          <cx:pt idx="12">RCT</cx:pt>
          <cx:pt idx="13">RCT</cx:pt>
          <cx:pt idx="14">RCT</cx:pt>
          <cx:pt idx="15">RCT</cx:pt>
          <cx:pt idx="16">RCT</cx:pt>
          <cx:pt idx="17">RCT</cx:pt>
          <cx:pt idx="18">RCT</cx:pt>
          <cx:pt idx="19">RCT</cx:pt>
          <cx:pt idx="20">RCT</cx:pt>
          <cx:pt idx="21">RCT</cx:pt>
          <cx:pt idx="22">RCT</cx:pt>
          <cx:pt idx="23">RCT</cx:pt>
          <cx:pt idx="24">RCT</cx:pt>
          <cx:pt idx="25">RCT</cx:pt>
          <cx:pt idx="26">RCT</cx:pt>
          <cx:pt idx="27">Frozen Shoulder</cx:pt>
          <cx:pt idx="28">Frozen Shoulder</cx:pt>
          <cx:pt idx="29">Frozen Shoulder</cx:pt>
          <cx:pt idx="30">Frozen Shoulder</cx:pt>
          <cx:pt idx="31">Frozen Shoulder</cx:pt>
          <cx:pt idx="32">Frozen Shoulder</cx:pt>
          <cx:pt idx="33">Frozen Shoulder</cx:pt>
          <cx:pt idx="34">Frozen Shoulder</cx:pt>
          <cx:pt idx="35">Frozen Shoulder</cx:pt>
          <cx:pt idx="36">Frozen Shoulder</cx:pt>
          <cx:pt idx="37">Frozen Shoulder</cx:pt>
          <cx:pt idx="38">Frozen Shoulder</cx:pt>
          <cx:pt idx="39">Frozen Shoulder</cx:pt>
          <cx:pt idx="40">Frozen Shoulder</cx:pt>
          <cx:pt idx="41">Frozen Shoulder</cx:pt>
          <cx:pt idx="42">Frozen Shoulder</cx:pt>
          <cx:pt idx="43">Frozen Shoulder</cx:pt>
          <cx:pt idx="44">Frozen Shoulder</cx:pt>
          <cx:pt idx="45">Frozen Shoulder</cx:pt>
          <cx:pt idx="46">Frozen Shoulder</cx:pt>
          <cx:pt idx="47">Frozen Shoulder</cx:pt>
          <cx:pt idx="48">Frozen Shoulder</cx:pt>
          <cx:pt idx="49">Frozen Shoulder</cx:pt>
          <cx:pt idx="50">Frozen Shoulder</cx:pt>
          <cx:pt idx="51">Frozen Shoulder</cx:pt>
          <cx:pt idx="52">Frozen Shoulder</cx:pt>
          <cx:pt idx="53">Frozen Shoulder</cx:pt>
        </cx:lvl>
      </cx:strDim>
      <cx:numDim type="val">
        <cx:f>'Data Rekap'!$D$2:$D$55</cx:f>
        <cx:lvl ptCount="54" formatCode="General">
          <cx:pt idx="0">37</cx:pt>
          <cx:pt idx="1">28</cx:pt>
          <cx:pt idx="2">35</cx:pt>
          <cx:pt idx="3">36</cx:pt>
          <cx:pt idx="4">32</cx:pt>
          <cx:pt idx="5">37</cx:pt>
          <cx:pt idx="6">43</cx:pt>
          <cx:pt idx="7">39</cx:pt>
          <cx:pt idx="8">39</cx:pt>
          <cx:pt idx="9">37</cx:pt>
          <cx:pt idx="10">36</cx:pt>
          <cx:pt idx="11">37</cx:pt>
          <cx:pt idx="12">42</cx:pt>
          <cx:pt idx="13">37</cx:pt>
          <cx:pt idx="14">38</cx:pt>
          <cx:pt idx="15">39</cx:pt>
          <cx:pt idx="16">40</cx:pt>
          <cx:pt idx="17">50</cx:pt>
          <cx:pt idx="18">37</cx:pt>
          <cx:pt idx="19">43</cx:pt>
          <cx:pt idx="20">32</cx:pt>
          <cx:pt idx="21">40</cx:pt>
          <cx:pt idx="22">34</cx:pt>
          <cx:pt idx="23">37</cx:pt>
          <cx:pt idx="24">39</cx:pt>
          <cx:pt idx="25">38</cx:pt>
          <cx:pt idx="26">39</cx:pt>
          <cx:pt idx="27">33</cx:pt>
          <cx:pt idx="28">32</cx:pt>
          <cx:pt idx="29">28</cx:pt>
          <cx:pt idx="30">36</cx:pt>
          <cx:pt idx="31">34</cx:pt>
          <cx:pt idx="32">31</cx:pt>
          <cx:pt idx="33">31</cx:pt>
          <cx:pt idx="34">32</cx:pt>
          <cx:pt idx="35">36</cx:pt>
          <cx:pt idx="36">35</cx:pt>
          <cx:pt idx="37">34</cx:pt>
          <cx:pt idx="38">29</cx:pt>
          <cx:pt idx="39">28</cx:pt>
          <cx:pt idx="40">32</cx:pt>
          <cx:pt idx="41">29</cx:pt>
          <cx:pt idx="42">31</cx:pt>
          <cx:pt idx="43">29</cx:pt>
          <cx:pt idx="44">33</cx:pt>
          <cx:pt idx="45">35</cx:pt>
          <cx:pt idx="46">33</cx:pt>
          <cx:pt idx="47">29</cx:pt>
          <cx:pt idx="48">27</cx:pt>
          <cx:pt idx="49">29</cx:pt>
          <cx:pt idx="50">30</cx:pt>
          <cx:pt idx="51">28</cx:pt>
          <cx:pt idx="52">35</cx:pt>
          <cx:pt idx="53">36</cx:pt>
        </cx:lvl>
      </cx:numDim>
    </cx:data>
  </cx:chartData>
  <cx:chart>
    <cx:title pos="t" align="ctr" overlay="0">
      <cx:tx>
        <cx:txData>
          <cx:v>Boxplot of CSA by Type</cx:v>
        </cx:txData>
      </cx:tx>
      <cx:txPr>
        <a:bodyPr spcFirstLastPara="1" vertOverflow="ellipsis" horzOverflow="overflow" wrap="square" lIns="0" tIns="0" rIns="0" bIns="0" anchor="ctr" anchorCtr="1"/>
        <a:lstStyle/>
        <a:p>
          <a:pPr algn="ctr" rtl="0">
            <a:defRPr/>
          </a:pPr>
          <a:r>
            <a:rPr lang="en-US" sz="1400" b="0" i="0" u="none" strike="noStrike" baseline="0">
              <a:solidFill>
                <a:sysClr val="windowText" lastClr="000000">
                  <a:lumMod val="65000"/>
                  <a:lumOff val="35000"/>
                </a:sysClr>
              </a:solidFill>
              <a:latin typeface="Aptos Narrow" panose="02110004020202020204"/>
            </a:rPr>
            <a:t>Boxplot of CSA by Type</a:t>
          </a:r>
        </a:p>
      </cx:txPr>
    </cx:title>
    <cx:plotArea>
      <cx:plotAreaRegion>
        <cx:series layoutId="boxWhisker" uniqueId="{27A8DD8A-CB47-4B6A-900F-B6C433A52EBB}">
          <cx:tx>
            <cx:txData>
              <cx:f>'Data Rekap'!$D$1</cx:f>
              <cx:v>CSA</cx:v>
            </cx:txData>
          </cx:tx>
          <cx:dataId val="0"/>
          <cx:layoutPr>
            <cx:visibility meanLine="0" meanMarker="1" nonoutliers="0" outliers="1"/>
            <cx:statistics quartileMethod="exclusive"/>
          </cx:layoutPr>
        </cx:series>
      </cx:plotAreaRegion>
      <cx:axis id="0">
        <cx:catScaling gapWidth="1"/>
        <cx:title>
          <cx:tx>
            <cx:txData>
              <cx:v>Type</cx:v>
            </cx:txData>
          </cx:tx>
          <cx:txPr>
            <a:bodyPr spcFirstLastPara="1" vertOverflow="ellipsis" horzOverflow="overflow" wrap="square" lIns="0" tIns="0" rIns="0" bIns="0" anchor="ctr" anchorCtr="1"/>
            <a:lstStyle/>
            <a:p>
              <a:pPr algn="ctr" rtl="0">
                <a:defRPr/>
              </a:pPr>
              <a:r>
                <a:rPr lang="en-US" sz="900" b="0" i="0" u="none" strike="noStrike" baseline="0">
                  <a:solidFill>
                    <a:sysClr val="windowText" lastClr="000000">
                      <a:lumMod val="65000"/>
                      <a:lumOff val="35000"/>
                    </a:sysClr>
                  </a:solidFill>
                  <a:latin typeface="Aptos Narrow" panose="02110004020202020204"/>
                </a:rPr>
                <a:t>Type</a:t>
              </a:r>
            </a:p>
          </cx:txPr>
        </cx:title>
        <cx:tickLabels/>
      </cx:axis>
      <cx:axis id="1">
        <cx:valScaling max="55" min="20"/>
        <cx:title>
          <cx:tx>
            <cx:txData>
              <cx:v>Critical Shoulder Angle</cx:v>
            </cx:txData>
          </cx:tx>
          <cx:txPr>
            <a:bodyPr spcFirstLastPara="1" vertOverflow="ellipsis" horzOverflow="overflow" wrap="square" lIns="0" tIns="0" rIns="0" bIns="0" anchor="ctr" anchorCtr="1"/>
            <a:lstStyle/>
            <a:p>
              <a:pPr algn="ctr" rtl="0">
                <a:defRPr/>
              </a:pPr>
              <a:r>
                <a:rPr lang="en-US" sz="900" b="0" i="0" u="none" strike="noStrike" baseline="0">
                  <a:solidFill>
                    <a:sysClr val="windowText" lastClr="000000">
                      <a:lumMod val="65000"/>
                      <a:lumOff val="35000"/>
                    </a:sysClr>
                  </a:solidFill>
                  <a:latin typeface="Aptos Narrow" panose="02110004020202020204"/>
                </a:rPr>
                <a:t>Critical Shoulder Angle</a:t>
              </a:r>
            </a:p>
          </cx:txPr>
        </cx:title>
        <cx:majorGridlines/>
        <cx:tickLabels/>
      </cx:axis>
    </cx:plotArea>
  </cx:chart>
</cx: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406">
  <cs:axisTitle>
    <cs:lnRef idx="0"/>
    <cs:fillRef idx="0"/>
    <cs:effectRef idx="0"/>
    <cs:fontRef idx="minor">
      <a:schemeClr val="tx1">
        <a:lumMod val="65000"/>
        <a:lumOff val="35000"/>
      </a:schemeClr>
    </cs:fontRef>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tx1">
        <a:lumMod val="65000"/>
        <a:lumOff val="35000"/>
      </a:schemeClr>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tx1"/>
    </cs:fontRef>
    <cs:spPr>
      <a:solidFill>
        <a:schemeClr val="phClr"/>
      </a:solidFill>
      <a:ln>
        <a:solidFill>
          <a:schemeClr val="phClr"/>
        </a:solidFill>
      </a:ln>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Narrow"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Narrow"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79</TotalTime>
  <Pages>3</Pages>
  <Words>628</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14</cp:revision>
  <dcterms:created xsi:type="dcterms:W3CDTF">2025-09-02T19:57:00Z</dcterms:created>
  <dcterms:modified xsi:type="dcterms:W3CDTF">2025-09-03T04:48:00Z</dcterms:modified>
</cp:coreProperties>
</file>