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30438" w14:textId="5B13B284" w:rsidR="00E0798E" w:rsidRDefault="00CF37AE" w:rsidP="00CF37AE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</w:rPr>
      </w:pPr>
      <w:r w:rsidRPr="00CF37AE">
        <w:rPr>
          <w:rFonts w:ascii="Times New Roman" w:hAnsi="Times New Roman" w:cs="Times New Roman"/>
          <w:b/>
          <w:bCs/>
        </w:rPr>
        <w:t xml:space="preserve">Uji </w:t>
      </w:r>
      <w:proofErr w:type="spellStart"/>
      <w:r w:rsidRPr="00CF37AE">
        <w:rPr>
          <w:rFonts w:ascii="Times New Roman" w:hAnsi="Times New Roman" w:cs="Times New Roman"/>
          <w:b/>
          <w:bCs/>
        </w:rPr>
        <w:t>Korelasi</w:t>
      </w:r>
      <w:proofErr w:type="spellEnd"/>
      <w:r w:rsidRPr="00CF37AE">
        <w:rPr>
          <w:rFonts w:ascii="Times New Roman" w:hAnsi="Times New Roman" w:cs="Times New Roman"/>
          <w:b/>
          <w:bCs/>
        </w:rPr>
        <w:t xml:space="preserve"> Rank Spearman</w:t>
      </w:r>
    </w:p>
    <w:tbl>
      <w:tblPr>
        <w:tblW w:w="800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4"/>
        <w:gridCol w:w="1476"/>
        <w:gridCol w:w="2168"/>
        <w:gridCol w:w="1476"/>
        <w:gridCol w:w="1245"/>
      </w:tblGrid>
      <w:tr w:rsidR="00CF37AE" w:rsidRPr="00CF37AE" w14:paraId="59B8399C" w14:textId="77777777" w:rsidTr="00CF37A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0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C020D5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CF37AE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Correlations</w:t>
            </w:r>
          </w:p>
        </w:tc>
      </w:tr>
      <w:tr w:rsidR="00CF37AE" w:rsidRPr="00CF37AE" w14:paraId="01EED8AA" w14:textId="77777777" w:rsidTr="00CF37A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288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B86F249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09A17A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POLIFARMASI</w:t>
            </w:r>
          </w:p>
        </w:tc>
        <w:tc>
          <w:tcPr>
            <w:tcW w:w="124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3849FAF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INTERAKSI</w:t>
            </w:r>
          </w:p>
        </w:tc>
      </w:tr>
      <w:tr w:rsidR="00CF37AE" w:rsidRPr="00CF37AE" w14:paraId="2860CB7B" w14:textId="77777777" w:rsidTr="00CF37A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4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FAAE4D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Spearman's rho</w:t>
            </w:r>
          </w:p>
        </w:tc>
        <w:tc>
          <w:tcPr>
            <w:tcW w:w="1476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5FD90D3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POLIFARMASI</w:t>
            </w:r>
          </w:p>
        </w:tc>
        <w:tc>
          <w:tcPr>
            <w:tcW w:w="216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A9B8C3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Correlation Coefficient</w:t>
            </w:r>
          </w:p>
        </w:tc>
        <w:tc>
          <w:tcPr>
            <w:tcW w:w="14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21B69B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1.000</w:t>
            </w:r>
          </w:p>
        </w:tc>
        <w:tc>
          <w:tcPr>
            <w:tcW w:w="12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6720C3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.416</w:t>
            </w:r>
            <w:r w:rsidRPr="00CF37AE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F37AE" w:rsidRPr="00CF37AE" w14:paraId="5F78D42D" w14:textId="77777777" w:rsidTr="00CF37A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6B043A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7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88DF70B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1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4B2FE5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79484C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2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D758DD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F37AE" w:rsidRPr="00CF37AE" w14:paraId="2D2081C2" w14:textId="77777777" w:rsidTr="00CF37A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709D89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7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0586CC8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16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B521098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6536C30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99</w:t>
            </w:r>
          </w:p>
        </w:tc>
        <w:tc>
          <w:tcPr>
            <w:tcW w:w="124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96A4686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99</w:t>
            </w:r>
          </w:p>
        </w:tc>
      </w:tr>
      <w:tr w:rsidR="00CF37AE" w:rsidRPr="00CF37AE" w14:paraId="5F8A2DFF" w14:textId="77777777" w:rsidTr="00CF37A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1ECBB6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79F5F5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INTERAKSI</w:t>
            </w:r>
          </w:p>
        </w:tc>
        <w:tc>
          <w:tcPr>
            <w:tcW w:w="21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DDA6F9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Correlation Coefficient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5B78AC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.416</w:t>
            </w:r>
            <w:r w:rsidRPr="00CF37AE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312CA3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1.000</w:t>
            </w:r>
          </w:p>
        </w:tc>
      </w:tr>
      <w:tr w:rsidR="00CF37AE" w:rsidRPr="00CF37AE" w14:paraId="3B4E0936" w14:textId="77777777" w:rsidTr="00CF37A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138619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7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0C4D97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1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0971E6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634871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2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DEE043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</w:tr>
      <w:tr w:rsidR="00CF37AE" w:rsidRPr="00CF37AE" w14:paraId="33DA9D76" w14:textId="77777777" w:rsidTr="00CF37A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C4302A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7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789A0A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16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BA6938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3635F49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99</w:t>
            </w:r>
          </w:p>
        </w:tc>
        <w:tc>
          <w:tcPr>
            <w:tcW w:w="12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64B5A79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99</w:t>
            </w:r>
          </w:p>
        </w:tc>
      </w:tr>
      <w:tr w:rsidR="00CF37AE" w:rsidRPr="00CF37AE" w14:paraId="3E1471E2" w14:textId="77777777" w:rsidTr="00CF37A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0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D798F9" w14:textId="77777777" w:rsidR="00CF37AE" w:rsidRPr="00CF37AE" w:rsidRDefault="00CF37AE" w:rsidP="00CF37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F37A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3161B462" w14:textId="77777777" w:rsidR="00CF37AE" w:rsidRPr="00CF37AE" w:rsidRDefault="00CF37AE" w:rsidP="00CF37A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CF37AE" w14:paraId="237BEE12" w14:textId="77777777" w:rsidTr="00CF37AE">
        <w:tc>
          <w:tcPr>
            <w:tcW w:w="3005" w:type="dxa"/>
          </w:tcPr>
          <w:p w14:paraId="3D8717A1" w14:textId="7CDB5E30" w:rsidR="00CF37AE" w:rsidRDefault="00CF37AE" w:rsidP="00CF37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Variabel</w:t>
            </w:r>
            <w:proofErr w:type="spellEnd"/>
          </w:p>
        </w:tc>
        <w:tc>
          <w:tcPr>
            <w:tcW w:w="3005" w:type="dxa"/>
          </w:tcPr>
          <w:p w14:paraId="02A25AA7" w14:textId="06B9522D" w:rsidR="00CF37AE" w:rsidRDefault="00CF37AE" w:rsidP="00CF37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</w:t>
            </w:r>
          </w:p>
        </w:tc>
        <w:tc>
          <w:tcPr>
            <w:tcW w:w="3006" w:type="dxa"/>
          </w:tcPr>
          <w:p w14:paraId="297C6002" w14:textId="70797F0F" w:rsidR="00CF37AE" w:rsidRDefault="00CF37AE" w:rsidP="00CF37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sig.</w:t>
            </w:r>
          </w:p>
        </w:tc>
      </w:tr>
      <w:tr w:rsidR="00CF37AE" w14:paraId="2EEB16AA" w14:textId="77777777" w:rsidTr="00CF37AE">
        <w:tc>
          <w:tcPr>
            <w:tcW w:w="3005" w:type="dxa"/>
          </w:tcPr>
          <w:p w14:paraId="6468DBA3" w14:textId="1E0B3D2D" w:rsidR="00CF37AE" w:rsidRPr="00CF37AE" w:rsidRDefault="00CF37AE" w:rsidP="00CF37A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Polifarmas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Interaksi</w:t>
            </w:r>
            <w:proofErr w:type="spellEnd"/>
          </w:p>
        </w:tc>
        <w:tc>
          <w:tcPr>
            <w:tcW w:w="3005" w:type="dxa"/>
          </w:tcPr>
          <w:p w14:paraId="25BEF7C6" w14:textId="4BC008A0" w:rsidR="00CF37AE" w:rsidRPr="00CF37AE" w:rsidRDefault="00CF37AE" w:rsidP="00CF3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0,416</w:t>
            </w:r>
          </w:p>
        </w:tc>
        <w:tc>
          <w:tcPr>
            <w:tcW w:w="3006" w:type="dxa"/>
          </w:tcPr>
          <w:p w14:paraId="2A342E90" w14:textId="6FBE21DD" w:rsidR="00CF37AE" w:rsidRPr="00CF37AE" w:rsidRDefault="00CF37AE" w:rsidP="00CF37AE">
            <w:pPr>
              <w:jc w:val="center"/>
              <w:rPr>
                <w:rFonts w:ascii="Times New Roman" w:hAnsi="Times New Roman" w:cs="Times New Roman"/>
              </w:rPr>
            </w:pPr>
            <w:r w:rsidRPr="00CF37AE">
              <w:rPr>
                <w:rFonts w:ascii="Times New Roman" w:hAnsi="Times New Roman" w:cs="Times New Roman"/>
              </w:rPr>
              <w:t>0,000</w:t>
            </w:r>
          </w:p>
        </w:tc>
      </w:tr>
    </w:tbl>
    <w:p w14:paraId="116AD492" w14:textId="77777777" w:rsidR="00CF37AE" w:rsidRDefault="00CF37AE" w:rsidP="00CF37AE">
      <w:pPr>
        <w:rPr>
          <w:rFonts w:ascii="Times New Roman" w:hAnsi="Times New Roman" w:cs="Times New Roman"/>
          <w:b/>
          <w:bCs/>
        </w:rPr>
      </w:pPr>
    </w:p>
    <w:p w14:paraId="55DB80BF" w14:textId="77777777" w:rsidR="00576AF6" w:rsidRPr="00576AF6" w:rsidRDefault="00576AF6" w:rsidP="00576AF6">
      <w:pPr>
        <w:spacing w:after="0"/>
        <w:ind w:firstLine="567"/>
        <w:jc w:val="both"/>
        <w:rPr>
          <w:rFonts w:ascii="Times New Roman" w:hAnsi="Times New Roman" w:cs="Times New Roman"/>
        </w:rPr>
      </w:pPr>
      <w:proofErr w:type="spellStart"/>
      <w:r w:rsidRPr="00576AF6">
        <w:rPr>
          <w:rFonts w:ascii="Times New Roman" w:hAnsi="Times New Roman" w:cs="Times New Roman"/>
        </w:rPr>
        <w:t>Berdasarkan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hasil</w:t>
      </w:r>
      <w:proofErr w:type="spellEnd"/>
      <w:r w:rsidRPr="00576AF6">
        <w:rPr>
          <w:rFonts w:ascii="Times New Roman" w:hAnsi="Times New Roman" w:cs="Times New Roman"/>
        </w:rPr>
        <w:t xml:space="preserve"> uji </w:t>
      </w:r>
      <w:proofErr w:type="spellStart"/>
      <w:r w:rsidRPr="00576AF6">
        <w:rPr>
          <w:rFonts w:ascii="Times New Roman" w:hAnsi="Times New Roman" w:cs="Times New Roman"/>
        </w:rPr>
        <w:t>korelasi</w:t>
      </w:r>
      <w:proofErr w:type="spellEnd"/>
      <w:r w:rsidRPr="00576AF6">
        <w:rPr>
          <w:rFonts w:ascii="Times New Roman" w:hAnsi="Times New Roman" w:cs="Times New Roman"/>
        </w:rPr>
        <w:t xml:space="preserve"> Rank-Spearman yang </w:t>
      </w:r>
      <w:proofErr w:type="spellStart"/>
      <w:r w:rsidRPr="00576AF6">
        <w:rPr>
          <w:rFonts w:ascii="Times New Roman" w:hAnsi="Times New Roman" w:cs="Times New Roman"/>
        </w:rPr>
        <w:t>diperoleh</w:t>
      </w:r>
      <w:proofErr w:type="spellEnd"/>
      <w:r w:rsidRPr="00576AF6">
        <w:rPr>
          <w:rFonts w:ascii="Times New Roman" w:hAnsi="Times New Roman" w:cs="Times New Roman"/>
        </w:rPr>
        <w:t xml:space="preserve">, </w:t>
      </w:r>
      <w:proofErr w:type="spellStart"/>
      <w:r w:rsidRPr="00576AF6">
        <w:rPr>
          <w:rFonts w:ascii="Times New Roman" w:hAnsi="Times New Roman" w:cs="Times New Roman"/>
        </w:rPr>
        <w:t>nilai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koefisien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korelasi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antara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polifarmasi</w:t>
      </w:r>
      <w:proofErr w:type="spellEnd"/>
      <w:r w:rsidRPr="00576AF6">
        <w:rPr>
          <w:rFonts w:ascii="Times New Roman" w:hAnsi="Times New Roman" w:cs="Times New Roman"/>
        </w:rPr>
        <w:t xml:space="preserve"> dan </w:t>
      </w:r>
      <w:proofErr w:type="spellStart"/>
      <w:r w:rsidRPr="00576AF6">
        <w:rPr>
          <w:rFonts w:ascii="Times New Roman" w:hAnsi="Times New Roman" w:cs="Times New Roman"/>
        </w:rPr>
        <w:t>interaksi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obat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adalah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sebesar</w:t>
      </w:r>
      <w:proofErr w:type="spellEnd"/>
      <w:r w:rsidRPr="00576AF6">
        <w:rPr>
          <w:rFonts w:ascii="Times New Roman" w:hAnsi="Times New Roman" w:cs="Times New Roman"/>
        </w:rPr>
        <w:t xml:space="preserve"> 0,416 </w:t>
      </w:r>
      <w:proofErr w:type="spellStart"/>
      <w:r w:rsidRPr="00576AF6">
        <w:rPr>
          <w:rFonts w:ascii="Times New Roman" w:hAnsi="Times New Roman" w:cs="Times New Roman"/>
        </w:rPr>
        <w:t>dengan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nilai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signifikansi</w:t>
      </w:r>
      <w:proofErr w:type="spellEnd"/>
      <w:r w:rsidRPr="00576AF6">
        <w:rPr>
          <w:rFonts w:ascii="Times New Roman" w:hAnsi="Times New Roman" w:cs="Times New Roman"/>
        </w:rPr>
        <w:t xml:space="preserve"> (Sig. 2-tailed) </w:t>
      </w:r>
      <w:proofErr w:type="spellStart"/>
      <w:r w:rsidRPr="00576AF6">
        <w:rPr>
          <w:rFonts w:ascii="Times New Roman" w:hAnsi="Times New Roman" w:cs="Times New Roman"/>
        </w:rPr>
        <w:t>sebesar</w:t>
      </w:r>
      <w:proofErr w:type="spellEnd"/>
      <w:r w:rsidRPr="00576AF6">
        <w:rPr>
          <w:rFonts w:ascii="Times New Roman" w:hAnsi="Times New Roman" w:cs="Times New Roman"/>
        </w:rPr>
        <w:t xml:space="preserve"> 0,000. Nilai </w:t>
      </w:r>
      <w:proofErr w:type="spellStart"/>
      <w:r w:rsidRPr="00576AF6">
        <w:rPr>
          <w:rFonts w:ascii="Times New Roman" w:hAnsi="Times New Roman" w:cs="Times New Roman"/>
        </w:rPr>
        <w:t>signifikansi</w:t>
      </w:r>
      <w:proofErr w:type="spellEnd"/>
      <w:r w:rsidRPr="00576AF6">
        <w:rPr>
          <w:rFonts w:ascii="Times New Roman" w:hAnsi="Times New Roman" w:cs="Times New Roman"/>
        </w:rPr>
        <w:t xml:space="preserve"> yang </w:t>
      </w:r>
      <w:proofErr w:type="spellStart"/>
      <w:r w:rsidRPr="00576AF6">
        <w:rPr>
          <w:rFonts w:ascii="Times New Roman" w:hAnsi="Times New Roman" w:cs="Times New Roman"/>
        </w:rPr>
        <w:t>lebih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kecil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dari</w:t>
      </w:r>
      <w:proofErr w:type="spellEnd"/>
      <w:r w:rsidRPr="00576AF6">
        <w:rPr>
          <w:rFonts w:ascii="Times New Roman" w:hAnsi="Times New Roman" w:cs="Times New Roman"/>
        </w:rPr>
        <w:t xml:space="preserve"> 0,01 </w:t>
      </w:r>
      <w:proofErr w:type="spellStart"/>
      <w:r w:rsidRPr="00576AF6">
        <w:rPr>
          <w:rFonts w:ascii="Times New Roman" w:hAnsi="Times New Roman" w:cs="Times New Roman"/>
        </w:rPr>
        <w:t>menunjukkan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bahwa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hubungan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antara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kedua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variabel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tersebut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signifikan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secara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statistik</w:t>
      </w:r>
      <w:proofErr w:type="spellEnd"/>
      <w:r w:rsidRPr="00576AF6">
        <w:rPr>
          <w:rFonts w:ascii="Times New Roman" w:hAnsi="Times New Roman" w:cs="Times New Roman"/>
        </w:rPr>
        <w:t xml:space="preserve"> pada </w:t>
      </w:r>
      <w:proofErr w:type="spellStart"/>
      <w:r w:rsidRPr="00576AF6">
        <w:rPr>
          <w:rFonts w:ascii="Times New Roman" w:hAnsi="Times New Roman" w:cs="Times New Roman"/>
        </w:rPr>
        <w:t>tingkat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kepercayaan</w:t>
      </w:r>
      <w:proofErr w:type="spellEnd"/>
      <w:r w:rsidRPr="00576AF6">
        <w:rPr>
          <w:rFonts w:ascii="Times New Roman" w:hAnsi="Times New Roman" w:cs="Times New Roman"/>
        </w:rPr>
        <w:t xml:space="preserve"> 99%.</w:t>
      </w:r>
    </w:p>
    <w:p w14:paraId="60E6F3AE" w14:textId="77777777" w:rsidR="00576AF6" w:rsidRPr="00576AF6" w:rsidRDefault="00576AF6" w:rsidP="00576AF6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576AF6">
        <w:rPr>
          <w:rFonts w:ascii="Times New Roman" w:hAnsi="Times New Roman" w:cs="Times New Roman"/>
        </w:rPr>
        <w:t xml:space="preserve">Jika </w:t>
      </w:r>
      <w:proofErr w:type="spellStart"/>
      <w:r w:rsidRPr="00576AF6">
        <w:rPr>
          <w:rFonts w:ascii="Times New Roman" w:hAnsi="Times New Roman" w:cs="Times New Roman"/>
        </w:rPr>
        <w:t>dikaitkan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dengan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kriteria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kekuatan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hubungan</w:t>
      </w:r>
      <w:proofErr w:type="spellEnd"/>
      <w:r w:rsidRPr="00576AF6">
        <w:rPr>
          <w:rFonts w:ascii="Times New Roman" w:hAnsi="Times New Roman" w:cs="Times New Roman"/>
        </w:rPr>
        <w:t xml:space="preserve">, </w:t>
      </w:r>
      <w:proofErr w:type="spellStart"/>
      <w:r w:rsidRPr="00576AF6">
        <w:rPr>
          <w:rFonts w:ascii="Times New Roman" w:hAnsi="Times New Roman" w:cs="Times New Roman"/>
        </w:rPr>
        <w:t>nilai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koefisien</w:t>
      </w:r>
      <w:proofErr w:type="spellEnd"/>
      <w:r w:rsidRPr="00576AF6">
        <w:rPr>
          <w:rFonts w:ascii="Times New Roman" w:hAnsi="Times New Roman" w:cs="Times New Roman"/>
        </w:rPr>
        <w:t xml:space="preserve"> 0,416 </w:t>
      </w:r>
      <w:proofErr w:type="spellStart"/>
      <w:r w:rsidRPr="00576AF6">
        <w:rPr>
          <w:rFonts w:ascii="Times New Roman" w:hAnsi="Times New Roman" w:cs="Times New Roman"/>
        </w:rPr>
        <w:t>berada</w:t>
      </w:r>
      <w:proofErr w:type="spellEnd"/>
      <w:r w:rsidRPr="00576AF6">
        <w:rPr>
          <w:rFonts w:ascii="Times New Roman" w:hAnsi="Times New Roman" w:cs="Times New Roman"/>
        </w:rPr>
        <w:t xml:space="preserve"> pada </w:t>
      </w:r>
      <w:proofErr w:type="spellStart"/>
      <w:r w:rsidRPr="00576AF6">
        <w:rPr>
          <w:rFonts w:ascii="Times New Roman" w:hAnsi="Times New Roman" w:cs="Times New Roman"/>
        </w:rPr>
        <w:t>rentang</w:t>
      </w:r>
      <w:proofErr w:type="spellEnd"/>
      <w:r w:rsidRPr="00576AF6">
        <w:rPr>
          <w:rFonts w:ascii="Times New Roman" w:hAnsi="Times New Roman" w:cs="Times New Roman"/>
        </w:rPr>
        <w:t xml:space="preserve"> 0,40–0,59, </w:t>
      </w:r>
      <w:proofErr w:type="spellStart"/>
      <w:r w:rsidRPr="00576AF6">
        <w:rPr>
          <w:rFonts w:ascii="Times New Roman" w:hAnsi="Times New Roman" w:cs="Times New Roman"/>
        </w:rPr>
        <w:t>sehingga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hubungan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antara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polifarmasi</w:t>
      </w:r>
      <w:proofErr w:type="spellEnd"/>
      <w:r w:rsidRPr="00576AF6">
        <w:rPr>
          <w:rFonts w:ascii="Times New Roman" w:hAnsi="Times New Roman" w:cs="Times New Roman"/>
        </w:rPr>
        <w:t xml:space="preserve"> dan </w:t>
      </w:r>
      <w:proofErr w:type="spellStart"/>
      <w:r w:rsidRPr="00576AF6">
        <w:rPr>
          <w:rFonts w:ascii="Times New Roman" w:hAnsi="Times New Roman" w:cs="Times New Roman"/>
        </w:rPr>
        <w:t>interaksi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obat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dapat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dikategorikan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sebagai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hubungan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sedang</w:t>
      </w:r>
      <w:proofErr w:type="spellEnd"/>
      <w:r w:rsidRPr="00576AF6">
        <w:rPr>
          <w:rFonts w:ascii="Times New Roman" w:hAnsi="Times New Roman" w:cs="Times New Roman"/>
        </w:rPr>
        <w:t xml:space="preserve"> (</w:t>
      </w:r>
      <w:proofErr w:type="spellStart"/>
      <w:r w:rsidRPr="00576AF6">
        <w:rPr>
          <w:rFonts w:ascii="Times New Roman" w:hAnsi="Times New Roman" w:cs="Times New Roman"/>
        </w:rPr>
        <w:t>moderat</w:t>
      </w:r>
      <w:proofErr w:type="spellEnd"/>
      <w:r w:rsidRPr="00576AF6">
        <w:rPr>
          <w:rFonts w:ascii="Times New Roman" w:hAnsi="Times New Roman" w:cs="Times New Roman"/>
        </w:rPr>
        <w:t xml:space="preserve">) </w:t>
      </w:r>
      <w:proofErr w:type="spellStart"/>
      <w:r w:rsidRPr="00576AF6">
        <w:rPr>
          <w:rFonts w:ascii="Times New Roman" w:hAnsi="Times New Roman" w:cs="Times New Roman"/>
        </w:rPr>
        <w:t>dengan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arah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positif</w:t>
      </w:r>
      <w:proofErr w:type="spellEnd"/>
      <w:r w:rsidRPr="00576AF6">
        <w:rPr>
          <w:rFonts w:ascii="Times New Roman" w:hAnsi="Times New Roman" w:cs="Times New Roman"/>
        </w:rPr>
        <w:t xml:space="preserve">. </w:t>
      </w:r>
      <w:proofErr w:type="spellStart"/>
      <w:r w:rsidRPr="00576AF6">
        <w:rPr>
          <w:rFonts w:ascii="Times New Roman" w:hAnsi="Times New Roman" w:cs="Times New Roman"/>
        </w:rPr>
        <w:t>Artinya</w:t>
      </w:r>
      <w:proofErr w:type="spellEnd"/>
      <w:r w:rsidRPr="00576AF6">
        <w:rPr>
          <w:rFonts w:ascii="Times New Roman" w:hAnsi="Times New Roman" w:cs="Times New Roman"/>
        </w:rPr>
        <w:t xml:space="preserve">, </w:t>
      </w:r>
      <w:proofErr w:type="spellStart"/>
      <w:r w:rsidRPr="00576AF6">
        <w:rPr>
          <w:rFonts w:ascii="Times New Roman" w:hAnsi="Times New Roman" w:cs="Times New Roman"/>
        </w:rPr>
        <w:t>semakin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banyak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jumlah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obat</w:t>
      </w:r>
      <w:proofErr w:type="spellEnd"/>
      <w:r w:rsidRPr="00576AF6">
        <w:rPr>
          <w:rFonts w:ascii="Times New Roman" w:hAnsi="Times New Roman" w:cs="Times New Roman"/>
        </w:rPr>
        <w:t xml:space="preserve"> yang </w:t>
      </w:r>
      <w:proofErr w:type="spellStart"/>
      <w:r w:rsidRPr="00576AF6">
        <w:rPr>
          <w:rFonts w:ascii="Times New Roman" w:hAnsi="Times New Roman" w:cs="Times New Roman"/>
        </w:rPr>
        <w:t>dikonsumsi</w:t>
      </w:r>
      <w:proofErr w:type="spellEnd"/>
      <w:r w:rsidRPr="00576AF6">
        <w:rPr>
          <w:rFonts w:ascii="Times New Roman" w:hAnsi="Times New Roman" w:cs="Times New Roman"/>
        </w:rPr>
        <w:t xml:space="preserve"> oleh </w:t>
      </w:r>
      <w:proofErr w:type="spellStart"/>
      <w:r w:rsidRPr="00576AF6">
        <w:rPr>
          <w:rFonts w:ascii="Times New Roman" w:hAnsi="Times New Roman" w:cs="Times New Roman"/>
        </w:rPr>
        <w:t>pasien</w:t>
      </w:r>
      <w:proofErr w:type="spellEnd"/>
      <w:r w:rsidRPr="00576AF6">
        <w:rPr>
          <w:rFonts w:ascii="Times New Roman" w:hAnsi="Times New Roman" w:cs="Times New Roman"/>
        </w:rPr>
        <w:t xml:space="preserve"> (</w:t>
      </w:r>
      <w:proofErr w:type="spellStart"/>
      <w:r w:rsidRPr="00576AF6">
        <w:rPr>
          <w:rFonts w:ascii="Times New Roman" w:hAnsi="Times New Roman" w:cs="Times New Roman"/>
        </w:rPr>
        <w:t>semakin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tinggi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tingkat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polifarmasi</w:t>
      </w:r>
      <w:proofErr w:type="spellEnd"/>
      <w:r w:rsidRPr="00576AF6">
        <w:rPr>
          <w:rFonts w:ascii="Times New Roman" w:hAnsi="Times New Roman" w:cs="Times New Roman"/>
        </w:rPr>
        <w:t xml:space="preserve">), </w:t>
      </w:r>
      <w:proofErr w:type="spellStart"/>
      <w:r w:rsidRPr="00576AF6">
        <w:rPr>
          <w:rFonts w:ascii="Times New Roman" w:hAnsi="Times New Roman" w:cs="Times New Roman"/>
        </w:rPr>
        <w:t>maka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semakin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besar</w:t>
      </w:r>
      <w:proofErr w:type="spellEnd"/>
      <w:r w:rsidRPr="00576AF6">
        <w:rPr>
          <w:rFonts w:ascii="Times New Roman" w:hAnsi="Times New Roman" w:cs="Times New Roman"/>
        </w:rPr>
        <w:t xml:space="preserve"> pula </w:t>
      </w:r>
      <w:proofErr w:type="spellStart"/>
      <w:r w:rsidRPr="00576AF6">
        <w:rPr>
          <w:rFonts w:ascii="Times New Roman" w:hAnsi="Times New Roman" w:cs="Times New Roman"/>
        </w:rPr>
        <w:t>kemungkinan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terjadinya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interaksi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obat</w:t>
      </w:r>
      <w:proofErr w:type="spellEnd"/>
      <w:r w:rsidRPr="00576AF6">
        <w:rPr>
          <w:rFonts w:ascii="Times New Roman" w:hAnsi="Times New Roman" w:cs="Times New Roman"/>
        </w:rPr>
        <w:t>.</w:t>
      </w:r>
    </w:p>
    <w:p w14:paraId="171F4151" w14:textId="77777777" w:rsidR="00576AF6" w:rsidRPr="00576AF6" w:rsidRDefault="00576AF6" w:rsidP="00576AF6">
      <w:pPr>
        <w:spacing w:after="0"/>
        <w:ind w:firstLine="567"/>
        <w:jc w:val="both"/>
        <w:rPr>
          <w:rFonts w:ascii="Times New Roman" w:hAnsi="Times New Roman" w:cs="Times New Roman"/>
        </w:rPr>
      </w:pPr>
      <w:proofErr w:type="spellStart"/>
      <w:r w:rsidRPr="00576AF6">
        <w:rPr>
          <w:rFonts w:ascii="Times New Roman" w:hAnsi="Times New Roman" w:cs="Times New Roman"/>
        </w:rPr>
        <w:t>Dengan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demikian</w:t>
      </w:r>
      <w:proofErr w:type="spellEnd"/>
      <w:r w:rsidRPr="00576AF6">
        <w:rPr>
          <w:rFonts w:ascii="Times New Roman" w:hAnsi="Times New Roman" w:cs="Times New Roman"/>
        </w:rPr>
        <w:t xml:space="preserve">, </w:t>
      </w:r>
      <w:proofErr w:type="spellStart"/>
      <w:r w:rsidRPr="00576AF6">
        <w:rPr>
          <w:rFonts w:ascii="Times New Roman" w:hAnsi="Times New Roman" w:cs="Times New Roman"/>
        </w:rPr>
        <w:t>dapat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disimpulkan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bahwa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polifarmasi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memiliki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hubungan</w:t>
      </w:r>
      <w:proofErr w:type="spellEnd"/>
      <w:r w:rsidRPr="00576AF6">
        <w:rPr>
          <w:rFonts w:ascii="Times New Roman" w:hAnsi="Times New Roman" w:cs="Times New Roman"/>
        </w:rPr>
        <w:t xml:space="preserve"> yang </w:t>
      </w:r>
      <w:proofErr w:type="spellStart"/>
      <w:r w:rsidRPr="00576AF6">
        <w:rPr>
          <w:rFonts w:ascii="Times New Roman" w:hAnsi="Times New Roman" w:cs="Times New Roman"/>
        </w:rPr>
        <w:t>signifikan</w:t>
      </w:r>
      <w:proofErr w:type="spellEnd"/>
      <w:r w:rsidRPr="00576AF6">
        <w:rPr>
          <w:rFonts w:ascii="Times New Roman" w:hAnsi="Times New Roman" w:cs="Times New Roman"/>
        </w:rPr>
        <w:t xml:space="preserve"> dan </w:t>
      </w:r>
      <w:proofErr w:type="spellStart"/>
      <w:r w:rsidRPr="00576AF6">
        <w:rPr>
          <w:rFonts w:ascii="Times New Roman" w:hAnsi="Times New Roman" w:cs="Times New Roman"/>
        </w:rPr>
        <w:t>sedang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terhadap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kejadian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interaksi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obat</w:t>
      </w:r>
      <w:proofErr w:type="spellEnd"/>
      <w:r w:rsidRPr="00576AF6">
        <w:rPr>
          <w:rFonts w:ascii="Times New Roman" w:hAnsi="Times New Roman" w:cs="Times New Roman"/>
        </w:rPr>
        <w:t xml:space="preserve">. </w:t>
      </w:r>
      <w:proofErr w:type="spellStart"/>
      <w:r w:rsidRPr="00576AF6">
        <w:rPr>
          <w:rFonts w:ascii="Times New Roman" w:hAnsi="Times New Roman" w:cs="Times New Roman"/>
        </w:rPr>
        <w:t>Temuan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ini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memperkuat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pandangan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bahwa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peningkatan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jumlah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obat</w:t>
      </w:r>
      <w:proofErr w:type="spellEnd"/>
      <w:r w:rsidRPr="00576AF6">
        <w:rPr>
          <w:rFonts w:ascii="Times New Roman" w:hAnsi="Times New Roman" w:cs="Times New Roman"/>
        </w:rPr>
        <w:t xml:space="preserve"> yang </w:t>
      </w:r>
      <w:proofErr w:type="spellStart"/>
      <w:r w:rsidRPr="00576AF6">
        <w:rPr>
          <w:rFonts w:ascii="Times New Roman" w:hAnsi="Times New Roman" w:cs="Times New Roman"/>
        </w:rPr>
        <w:t>diresepkan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secara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bersamaan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perlu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diawasi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secara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ketat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untuk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mencegah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terjadinya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interaksi</w:t>
      </w:r>
      <w:proofErr w:type="spellEnd"/>
      <w:r w:rsidRPr="00576AF6">
        <w:rPr>
          <w:rFonts w:ascii="Times New Roman" w:hAnsi="Times New Roman" w:cs="Times New Roman"/>
        </w:rPr>
        <w:t xml:space="preserve"> yang </w:t>
      </w:r>
      <w:proofErr w:type="spellStart"/>
      <w:r w:rsidRPr="00576AF6">
        <w:rPr>
          <w:rFonts w:ascii="Times New Roman" w:hAnsi="Times New Roman" w:cs="Times New Roman"/>
        </w:rPr>
        <w:t>dapat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memengaruhi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keamanan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serta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efektivitas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terapi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pasien</w:t>
      </w:r>
      <w:proofErr w:type="spellEnd"/>
      <w:r w:rsidRPr="00576AF6">
        <w:rPr>
          <w:rFonts w:ascii="Times New Roman" w:hAnsi="Times New Roman" w:cs="Times New Roman"/>
        </w:rPr>
        <w:t>.</w:t>
      </w:r>
    </w:p>
    <w:p w14:paraId="483ED8B5" w14:textId="77777777" w:rsidR="00576AF6" w:rsidRDefault="00576AF6" w:rsidP="00CF37AE">
      <w:pPr>
        <w:rPr>
          <w:rFonts w:ascii="Times New Roman" w:hAnsi="Times New Roman" w:cs="Times New Roman"/>
          <w:b/>
          <w:bCs/>
        </w:rPr>
      </w:pPr>
    </w:p>
    <w:p w14:paraId="3758B287" w14:textId="77777777" w:rsidR="00576AF6" w:rsidRDefault="00576AF6" w:rsidP="00CF37AE">
      <w:pPr>
        <w:rPr>
          <w:rFonts w:ascii="Times New Roman" w:hAnsi="Times New Roman" w:cs="Times New Roman"/>
          <w:b/>
          <w:bCs/>
        </w:rPr>
      </w:pPr>
    </w:p>
    <w:p w14:paraId="1B7B29D2" w14:textId="77777777" w:rsidR="00576AF6" w:rsidRDefault="00576AF6" w:rsidP="00CF37AE">
      <w:pPr>
        <w:rPr>
          <w:rFonts w:ascii="Times New Roman" w:hAnsi="Times New Roman" w:cs="Times New Roman"/>
          <w:b/>
          <w:bCs/>
        </w:rPr>
      </w:pPr>
    </w:p>
    <w:p w14:paraId="243BF696" w14:textId="77777777" w:rsidR="00576AF6" w:rsidRDefault="00576AF6" w:rsidP="00CF37AE">
      <w:pPr>
        <w:rPr>
          <w:rFonts w:ascii="Times New Roman" w:hAnsi="Times New Roman" w:cs="Times New Roman"/>
          <w:b/>
          <w:bCs/>
        </w:rPr>
      </w:pPr>
    </w:p>
    <w:p w14:paraId="764D21BB" w14:textId="77777777" w:rsidR="00576AF6" w:rsidRDefault="00576AF6" w:rsidP="00CF37AE">
      <w:pPr>
        <w:rPr>
          <w:rFonts w:ascii="Times New Roman" w:hAnsi="Times New Roman" w:cs="Times New Roman"/>
          <w:b/>
          <w:bCs/>
        </w:rPr>
      </w:pPr>
    </w:p>
    <w:p w14:paraId="0092E105" w14:textId="77777777" w:rsidR="00576AF6" w:rsidRDefault="00576AF6" w:rsidP="00CF37AE">
      <w:pPr>
        <w:rPr>
          <w:rFonts w:ascii="Times New Roman" w:hAnsi="Times New Roman" w:cs="Times New Roman"/>
          <w:b/>
          <w:bCs/>
        </w:rPr>
      </w:pPr>
    </w:p>
    <w:p w14:paraId="08BA5338" w14:textId="77777777" w:rsidR="00576AF6" w:rsidRDefault="00576AF6" w:rsidP="00CF37AE">
      <w:pPr>
        <w:rPr>
          <w:rFonts w:ascii="Times New Roman" w:hAnsi="Times New Roman" w:cs="Times New Roman"/>
          <w:b/>
          <w:bCs/>
        </w:rPr>
      </w:pPr>
    </w:p>
    <w:p w14:paraId="48997A34" w14:textId="77777777" w:rsidR="00576AF6" w:rsidRDefault="00576AF6" w:rsidP="00CF37AE">
      <w:pPr>
        <w:rPr>
          <w:rFonts w:ascii="Times New Roman" w:hAnsi="Times New Roman" w:cs="Times New Roman"/>
          <w:b/>
          <w:bCs/>
        </w:rPr>
      </w:pPr>
    </w:p>
    <w:p w14:paraId="1E53FE16" w14:textId="77777777" w:rsidR="00576AF6" w:rsidRPr="00576AF6" w:rsidRDefault="00576AF6" w:rsidP="00576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688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076"/>
        <w:gridCol w:w="1169"/>
        <w:gridCol w:w="1030"/>
        <w:gridCol w:w="1399"/>
        <w:gridCol w:w="1476"/>
      </w:tblGrid>
      <w:tr w:rsidR="00576AF6" w:rsidRPr="00576AF6" w14:paraId="27CA5588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8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475D13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76AF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lastRenderedPageBreak/>
              <w:t>POLIFARMASI</w:t>
            </w:r>
          </w:p>
        </w:tc>
      </w:tr>
      <w:tr w:rsidR="00576AF6" w:rsidRPr="00576AF6" w14:paraId="1182AF08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83FFBA7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A606D0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604EE7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BFB8A2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41AC19F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76AF6" w:rsidRPr="00576AF6" w14:paraId="36A7BE56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817735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107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C71A06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Minor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3E35FD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AA14A3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18.2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E67001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18.2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263B872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18.2</w:t>
            </w:r>
          </w:p>
        </w:tc>
      </w:tr>
      <w:tr w:rsidR="00576AF6" w:rsidRPr="00576AF6" w14:paraId="4167330A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3DC9AC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6EC2EB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Moderate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389FBE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5504DA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35.4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A80E50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35.4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E39FB36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53.5</w:t>
            </w:r>
          </w:p>
        </w:tc>
      </w:tr>
      <w:tr w:rsidR="00576AF6" w:rsidRPr="00576AF6" w14:paraId="342E3717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1DDA2E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47DE7E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Mayor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2F6211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D1D4EF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46.5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E2957E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8DACE1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76AF6" w:rsidRPr="00576AF6" w14:paraId="443AFE0C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0430DD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D3815F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81719B8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9425339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07FB86F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ED31E37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0F7C0BB3" w14:textId="77777777" w:rsidR="00576AF6" w:rsidRPr="00576AF6" w:rsidRDefault="00576AF6" w:rsidP="00576AF6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576AF6">
        <w:rPr>
          <w:rFonts w:ascii="Times New Roman" w:hAnsi="Times New Roman" w:cs="Times New Roman"/>
          <w:kern w:val="0"/>
        </w:rPr>
        <w:t>Berdasarkan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hasil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analisis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distribusi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frekuensi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variabel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b/>
          <w:bCs/>
          <w:kern w:val="0"/>
        </w:rPr>
        <w:t>Polifarmasi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76AF6">
        <w:rPr>
          <w:rFonts w:ascii="Times New Roman" w:hAnsi="Times New Roman" w:cs="Times New Roman"/>
          <w:kern w:val="0"/>
        </w:rPr>
        <w:t>diketahui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bahwa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dari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total 99 </w:t>
      </w:r>
      <w:proofErr w:type="spellStart"/>
      <w:r w:rsidRPr="00576AF6">
        <w:rPr>
          <w:rFonts w:ascii="Times New Roman" w:hAnsi="Times New Roman" w:cs="Times New Roman"/>
          <w:kern w:val="0"/>
        </w:rPr>
        <w:t>responden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76AF6">
        <w:rPr>
          <w:rFonts w:ascii="Times New Roman" w:hAnsi="Times New Roman" w:cs="Times New Roman"/>
          <w:kern w:val="0"/>
        </w:rPr>
        <w:t>sebanyak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18 </w:t>
      </w:r>
      <w:proofErr w:type="spellStart"/>
      <w:r w:rsidRPr="00576AF6">
        <w:rPr>
          <w:rFonts w:ascii="Times New Roman" w:hAnsi="Times New Roman" w:cs="Times New Roman"/>
          <w:kern w:val="0"/>
        </w:rPr>
        <w:t>responden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(18,2%) </w:t>
      </w:r>
      <w:proofErr w:type="spellStart"/>
      <w:r w:rsidRPr="00576AF6">
        <w:rPr>
          <w:rFonts w:ascii="Times New Roman" w:hAnsi="Times New Roman" w:cs="Times New Roman"/>
          <w:kern w:val="0"/>
        </w:rPr>
        <w:t>termasuk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dalam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kategori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minor, 35 </w:t>
      </w:r>
      <w:proofErr w:type="spellStart"/>
      <w:r w:rsidRPr="00576AF6">
        <w:rPr>
          <w:rFonts w:ascii="Times New Roman" w:hAnsi="Times New Roman" w:cs="Times New Roman"/>
          <w:kern w:val="0"/>
        </w:rPr>
        <w:t>responden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(35,4%) </w:t>
      </w:r>
      <w:proofErr w:type="spellStart"/>
      <w:r w:rsidRPr="00576AF6">
        <w:rPr>
          <w:rFonts w:ascii="Times New Roman" w:hAnsi="Times New Roman" w:cs="Times New Roman"/>
          <w:kern w:val="0"/>
        </w:rPr>
        <w:t>berada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76AF6">
        <w:rPr>
          <w:rFonts w:ascii="Times New Roman" w:hAnsi="Times New Roman" w:cs="Times New Roman"/>
          <w:kern w:val="0"/>
        </w:rPr>
        <w:t>kategori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moderat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dan 46 </w:t>
      </w:r>
      <w:proofErr w:type="spellStart"/>
      <w:r w:rsidRPr="00576AF6">
        <w:rPr>
          <w:rFonts w:ascii="Times New Roman" w:hAnsi="Times New Roman" w:cs="Times New Roman"/>
          <w:kern w:val="0"/>
        </w:rPr>
        <w:t>responden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(46,5%) </w:t>
      </w:r>
      <w:proofErr w:type="spellStart"/>
      <w:r w:rsidRPr="00576AF6">
        <w:rPr>
          <w:rFonts w:ascii="Times New Roman" w:hAnsi="Times New Roman" w:cs="Times New Roman"/>
          <w:kern w:val="0"/>
        </w:rPr>
        <w:t>berada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76AF6">
        <w:rPr>
          <w:rFonts w:ascii="Times New Roman" w:hAnsi="Times New Roman" w:cs="Times New Roman"/>
          <w:kern w:val="0"/>
        </w:rPr>
        <w:t>kategori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mayor.</w:t>
      </w:r>
    </w:p>
    <w:p w14:paraId="24D993E4" w14:textId="77777777" w:rsidR="00576AF6" w:rsidRPr="00576AF6" w:rsidRDefault="00576AF6" w:rsidP="00576AF6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576AF6">
        <w:rPr>
          <w:rFonts w:ascii="Times New Roman" w:hAnsi="Times New Roman" w:cs="Times New Roman"/>
          <w:kern w:val="0"/>
        </w:rPr>
        <w:t>Distribusi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menunjukkan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bahwa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sebagian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besar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responden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(46,5%) </w:t>
      </w:r>
      <w:proofErr w:type="spellStart"/>
      <w:r w:rsidRPr="00576AF6">
        <w:rPr>
          <w:rFonts w:ascii="Times New Roman" w:hAnsi="Times New Roman" w:cs="Times New Roman"/>
          <w:kern w:val="0"/>
        </w:rPr>
        <w:t>mengalami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polifarmasi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tingkat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mayor, yang </w:t>
      </w:r>
      <w:proofErr w:type="spellStart"/>
      <w:r w:rsidRPr="00576AF6">
        <w:rPr>
          <w:rFonts w:ascii="Times New Roman" w:hAnsi="Times New Roman" w:cs="Times New Roman"/>
          <w:kern w:val="0"/>
        </w:rPr>
        <w:t>berarti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mereka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mengonsumsi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banyak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jenis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obat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secara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bersamaan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576AF6">
        <w:rPr>
          <w:rFonts w:ascii="Times New Roman" w:hAnsi="Times New Roman" w:cs="Times New Roman"/>
          <w:kern w:val="0"/>
        </w:rPr>
        <w:t>Sementara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itu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76AF6">
        <w:rPr>
          <w:rFonts w:ascii="Times New Roman" w:hAnsi="Times New Roman" w:cs="Times New Roman"/>
          <w:kern w:val="0"/>
        </w:rPr>
        <w:t>proporsi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terkecil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terdapat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76AF6">
        <w:rPr>
          <w:rFonts w:ascii="Times New Roman" w:hAnsi="Times New Roman" w:cs="Times New Roman"/>
          <w:kern w:val="0"/>
        </w:rPr>
        <w:t>kategori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minor (18,2%), yang </w:t>
      </w:r>
      <w:proofErr w:type="spellStart"/>
      <w:r w:rsidRPr="00576AF6">
        <w:rPr>
          <w:rFonts w:ascii="Times New Roman" w:hAnsi="Times New Roman" w:cs="Times New Roman"/>
          <w:kern w:val="0"/>
        </w:rPr>
        <w:t>menunjukkan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penggunaan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obat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dalam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jumlah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terbatas</w:t>
      </w:r>
      <w:proofErr w:type="spellEnd"/>
      <w:r w:rsidRPr="00576AF6">
        <w:rPr>
          <w:rFonts w:ascii="Times New Roman" w:hAnsi="Times New Roman" w:cs="Times New Roman"/>
          <w:kern w:val="0"/>
        </w:rPr>
        <w:t>.</w:t>
      </w:r>
    </w:p>
    <w:p w14:paraId="4A0B5EB4" w14:textId="77777777" w:rsidR="00576AF6" w:rsidRPr="00576AF6" w:rsidRDefault="00576AF6" w:rsidP="00576AF6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576AF6">
        <w:rPr>
          <w:rFonts w:ascii="Times New Roman" w:hAnsi="Times New Roman" w:cs="Times New Roman"/>
          <w:kern w:val="0"/>
        </w:rPr>
        <w:t>Secara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keseluruhan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76AF6">
        <w:rPr>
          <w:rFonts w:ascii="Times New Roman" w:hAnsi="Times New Roman" w:cs="Times New Roman"/>
          <w:kern w:val="0"/>
        </w:rPr>
        <w:t>hasil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mengindikasikan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bahwa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tingkat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polifarmasi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di </w:t>
      </w:r>
      <w:proofErr w:type="spellStart"/>
      <w:r w:rsidRPr="00576AF6">
        <w:rPr>
          <w:rFonts w:ascii="Times New Roman" w:hAnsi="Times New Roman" w:cs="Times New Roman"/>
          <w:kern w:val="0"/>
        </w:rPr>
        <w:t>populasi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penelitian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cenderung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tinggi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76AF6">
        <w:rPr>
          <w:rFonts w:ascii="Times New Roman" w:hAnsi="Times New Roman" w:cs="Times New Roman"/>
          <w:kern w:val="0"/>
        </w:rPr>
        <w:t>karena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lebih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dari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separuh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responden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tergolong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dalam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kategori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moderat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hingga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mayor. </w:t>
      </w:r>
      <w:proofErr w:type="spellStart"/>
      <w:r w:rsidRPr="00576AF6">
        <w:rPr>
          <w:rFonts w:ascii="Times New Roman" w:hAnsi="Times New Roman" w:cs="Times New Roman"/>
          <w:kern w:val="0"/>
        </w:rPr>
        <w:t>Kondisi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penting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untuk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diperhatikan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76AF6">
        <w:rPr>
          <w:rFonts w:ascii="Times New Roman" w:hAnsi="Times New Roman" w:cs="Times New Roman"/>
          <w:kern w:val="0"/>
        </w:rPr>
        <w:t>mengingat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semakin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tinggi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tingkat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polifarmasi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76AF6">
        <w:rPr>
          <w:rFonts w:ascii="Times New Roman" w:hAnsi="Times New Roman" w:cs="Times New Roman"/>
          <w:kern w:val="0"/>
        </w:rPr>
        <w:t>semakin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besar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pula </w:t>
      </w:r>
      <w:proofErr w:type="spellStart"/>
      <w:r w:rsidRPr="00576AF6">
        <w:rPr>
          <w:rFonts w:ascii="Times New Roman" w:hAnsi="Times New Roman" w:cs="Times New Roman"/>
          <w:kern w:val="0"/>
        </w:rPr>
        <w:t>potensi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terjadinya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interaksi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obat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dan </w:t>
      </w:r>
      <w:proofErr w:type="spellStart"/>
      <w:r w:rsidRPr="00576AF6">
        <w:rPr>
          <w:rFonts w:ascii="Times New Roman" w:hAnsi="Times New Roman" w:cs="Times New Roman"/>
          <w:kern w:val="0"/>
        </w:rPr>
        <w:t>risiko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efek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samping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76AF6">
        <w:rPr>
          <w:rFonts w:ascii="Times New Roman" w:hAnsi="Times New Roman" w:cs="Times New Roman"/>
          <w:kern w:val="0"/>
        </w:rPr>
        <w:t>tidak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diinginkan</w:t>
      </w:r>
      <w:proofErr w:type="spellEnd"/>
      <w:r w:rsidRPr="00576AF6">
        <w:rPr>
          <w:rFonts w:ascii="Times New Roman" w:hAnsi="Times New Roman" w:cs="Times New Roman"/>
          <w:kern w:val="0"/>
        </w:rPr>
        <w:t>.</w:t>
      </w:r>
    </w:p>
    <w:p w14:paraId="2630DE0A" w14:textId="77777777" w:rsidR="00576AF6" w:rsidRPr="00576AF6" w:rsidRDefault="00576AF6" w:rsidP="00576A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3BC2EAA4" w14:textId="77777777" w:rsidR="00576AF6" w:rsidRPr="00576AF6" w:rsidRDefault="00576AF6" w:rsidP="00576A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tbl>
      <w:tblPr>
        <w:tblW w:w="688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076"/>
        <w:gridCol w:w="1169"/>
        <w:gridCol w:w="1030"/>
        <w:gridCol w:w="1399"/>
        <w:gridCol w:w="1476"/>
      </w:tblGrid>
      <w:tr w:rsidR="00576AF6" w:rsidRPr="00576AF6" w14:paraId="705B7A45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8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B07A95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76AF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INTERAKSI</w:t>
            </w:r>
          </w:p>
        </w:tc>
      </w:tr>
      <w:tr w:rsidR="00576AF6" w:rsidRPr="00576AF6" w14:paraId="3AE528A5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06EA899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46AF0E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B66BC7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517F68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0918D44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76AF6" w:rsidRPr="00576AF6" w14:paraId="341B1D91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550B9A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107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AAB543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Ni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F8AC86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FF5AB5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34.3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47BD46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34.3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35195E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34.3</w:t>
            </w:r>
          </w:p>
        </w:tc>
      </w:tr>
      <w:tr w:rsidR="00576AF6" w:rsidRPr="00576AF6" w14:paraId="215BF818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4A053E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B7CC87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Minor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2E28F1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E56D7B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A5EFE8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F18A85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38.4</w:t>
            </w:r>
          </w:p>
        </w:tc>
      </w:tr>
      <w:tr w:rsidR="00576AF6" w:rsidRPr="00576AF6" w14:paraId="7FB8FEC9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497A26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DFDDF1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Moderate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525419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710C23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38.4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EB7860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38.4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75D6A9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76.8</w:t>
            </w:r>
          </w:p>
        </w:tc>
      </w:tr>
      <w:tr w:rsidR="00576AF6" w:rsidRPr="00576AF6" w14:paraId="74B56488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136CB6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3E8086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Mayor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D558A3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B65BC1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23.2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EABC3A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23.2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43D0FD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76AF6" w:rsidRPr="00576AF6" w14:paraId="797E553A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DEA186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E79615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F75559C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361FB10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E99A43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CCFC325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77A8320D" w14:textId="77777777" w:rsidR="00576AF6" w:rsidRPr="00576AF6" w:rsidRDefault="00576AF6" w:rsidP="00576AF6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576AF6">
        <w:rPr>
          <w:rFonts w:ascii="Times New Roman" w:hAnsi="Times New Roman" w:cs="Times New Roman"/>
          <w:kern w:val="0"/>
        </w:rPr>
        <w:t>Berdasarkan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hasil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analisis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distribusi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frekuensi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variabel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Interaksi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Obat, </w:t>
      </w:r>
      <w:proofErr w:type="spellStart"/>
      <w:r w:rsidRPr="00576AF6">
        <w:rPr>
          <w:rFonts w:ascii="Times New Roman" w:hAnsi="Times New Roman" w:cs="Times New Roman"/>
          <w:kern w:val="0"/>
        </w:rPr>
        <w:t>dari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total 99 </w:t>
      </w:r>
      <w:proofErr w:type="spellStart"/>
      <w:r w:rsidRPr="00576AF6">
        <w:rPr>
          <w:rFonts w:ascii="Times New Roman" w:hAnsi="Times New Roman" w:cs="Times New Roman"/>
          <w:kern w:val="0"/>
        </w:rPr>
        <w:t>responden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76AF6">
        <w:rPr>
          <w:rFonts w:ascii="Times New Roman" w:hAnsi="Times New Roman" w:cs="Times New Roman"/>
          <w:kern w:val="0"/>
        </w:rPr>
        <w:t>diperoleh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bahwa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sebanyak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34 </w:t>
      </w:r>
      <w:proofErr w:type="spellStart"/>
      <w:r w:rsidRPr="00576AF6">
        <w:rPr>
          <w:rFonts w:ascii="Times New Roman" w:hAnsi="Times New Roman" w:cs="Times New Roman"/>
          <w:kern w:val="0"/>
        </w:rPr>
        <w:t>responden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(34,3%) </w:t>
      </w:r>
      <w:proofErr w:type="spellStart"/>
      <w:r w:rsidRPr="00576AF6">
        <w:rPr>
          <w:rFonts w:ascii="Times New Roman" w:hAnsi="Times New Roman" w:cs="Times New Roman"/>
          <w:kern w:val="0"/>
        </w:rPr>
        <w:t>tidak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mengalami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interaksi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obat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(</w:t>
      </w:r>
      <w:proofErr w:type="spellStart"/>
      <w:r w:rsidRPr="00576AF6">
        <w:rPr>
          <w:rFonts w:ascii="Times New Roman" w:hAnsi="Times New Roman" w:cs="Times New Roman"/>
          <w:kern w:val="0"/>
        </w:rPr>
        <w:t>kategori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“Ni”), 4 </w:t>
      </w:r>
      <w:proofErr w:type="spellStart"/>
      <w:r w:rsidRPr="00576AF6">
        <w:rPr>
          <w:rFonts w:ascii="Times New Roman" w:hAnsi="Times New Roman" w:cs="Times New Roman"/>
          <w:kern w:val="0"/>
        </w:rPr>
        <w:t>responden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(4,0%) </w:t>
      </w:r>
      <w:proofErr w:type="spellStart"/>
      <w:r w:rsidRPr="00576AF6">
        <w:rPr>
          <w:rFonts w:ascii="Times New Roman" w:hAnsi="Times New Roman" w:cs="Times New Roman"/>
          <w:kern w:val="0"/>
        </w:rPr>
        <w:t>mengalami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interaksi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minor, 38 </w:t>
      </w:r>
      <w:proofErr w:type="spellStart"/>
      <w:r w:rsidRPr="00576AF6">
        <w:rPr>
          <w:rFonts w:ascii="Times New Roman" w:hAnsi="Times New Roman" w:cs="Times New Roman"/>
          <w:kern w:val="0"/>
        </w:rPr>
        <w:t>responden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(38,4%) </w:t>
      </w:r>
      <w:proofErr w:type="spellStart"/>
      <w:r w:rsidRPr="00576AF6">
        <w:rPr>
          <w:rFonts w:ascii="Times New Roman" w:hAnsi="Times New Roman" w:cs="Times New Roman"/>
          <w:kern w:val="0"/>
        </w:rPr>
        <w:t>mengalami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interaksi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moderat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dan 23 </w:t>
      </w:r>
      <w:proofErr w:type="spellStart"/>
      <w:r w:rsidRPr="00576AF6">
        <w:rPr>
          <w:rFonts w:ascii="Times New Roman" w:hAnsi="Times New Roman" w:cs="Times New Roman"/>
          <w:kern w:val="0"/>
        </w:rPr>
        <w:t>responden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(23,2%) </w:t>
      </w:r>
      <w:proofErr w:type="spellStart"/>
      <w:r w:rsidRPr="00576AF6">
        <w:rPr>
          <w:rFonts w:ascii="Times New Roman" w:hAnsi="Times New Roman" w:cs="Times New Roman"/>
          <w:kern w:val="0"/>
        </w:rPr>
        <w:t>mengalami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interaksi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mayor.</w:t>
      </w:r>
    </w:p>
    <w:p w14:paraId="0A952193" w14:textId="77777777" w:rsidR="00576AF6" w:rsidRPr="00576AF6" w:rsidRDefault="00576AF6" w:rsidP="00576AF6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576AF6">
        <w:rPr>
          <w:rFonts w:ascii="Times New Roman" w:hAnsi="Times New Roman" w:cs="Times New Roman"/>
          <w:kern w:val="0"/>
        </w:rPr>
        <w:t>Distribusi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menunjukkan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bahwa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sebagian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besar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responden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(38,4%) </w:t>
      </w:r>
      <w:proofErr w:type="spellStart"/>
      <w:r w:rsidRPr="00576AF6">
        <w:rPr>
          <w:rFonts w:ascii="Times New Roman" w:hAnsi="Times New Roman" w:cs="Times New Roman"/>
          <w:kern w:val="0"/>
        </w:rPr>
        <w:t>mengalami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interaksi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obat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tingkat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moderat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76AF6">
        <w:rPr>
          <w:rFonts w:ascii="Times New Roman" w:hAnsi="Times New Roman" w:cs="Times New Roman"/>
          <w:kern w:val="0"/>
        </w:rPr>
        <w:t>diikuti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oleh </w:t>
      </w:r>
      <w:proofErr w:type="spellStart"/>
      <w:r w:rsidRPr="00576AF6">
        <w:rPr>
          <w:rFonts w:ascii="Times New Roman" w:hAnsi="Times New Roman" w:cs="Times New Roman"/>
          <w:kern w:val="0"/>
        </w:rPr>
        <w:t>interaksi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mayor (23,2%), </w:t>
      </w:r>
      <w:proofErr w:type="spellStart"/>
      <w:r w:rsidRPr="00576AF6">
        <w:rPr>
          <w:rFonts w:ascii="Times New Roman" w:hAnsi="Times New Roman" w:cs="Times New Roman"/>
          <w:kern w:val="0"/>
        </w:rPr>
        <w:t>sedangkan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interaksi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minor </w:t>
      </w:r>
      <w:proofErr w:type="spellStart"/>
      <w:r w:rsidRPr="00576AF6">
        <w:rPr>
          <w:rFonts w:ascii="Times New Roman" w:hAnsi="Times New Roman" w:cs="Times New Roman"/>
          <w:kern w:val="0"/>
        </w:rPr>
        <w:t>hanya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dialami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oleh </w:t>
      </w:r>
      <w:proofErr w:type="spellStart"/>
      <w:r w:rsidRPr="00576AF6">
        <w:rPr>
          <w:rFonts w:ascii="Times New Roman" w:hAnsi="Times New Roman" w:cs="Times New Roman"/>
          <w:kern w:val="0"/>
        </w:rPr>
        <w:t>sebagian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kecil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responden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(4,0%). Adapun </w:t>
      </w:r>
      <w:proofErr w:type="spellStart"/>
      <w:r w:rsidRPr="00576AF6">
        <w:rPr>
          <w:rFonts w:ascii="Times New Roman" w:hAnsi="Times New Roman" w:cs="Times New Roman"/>
          <w:kern w:val="0"/>
        </w:rPr>
        <w:t>proporsi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responden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76AF6">
        <w:rPr>
          <w:rFonts w:ascii="Times New Roman" w:hAnsi="Times New Roman" w:cs="Times New Roman"/>
          <w:kern w:val="0"/>
        </w:rPr>
        <w:t>tidak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lastRenderedPageBreak/>
        <w:t>mengalami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interaksi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obat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masih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cukup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besar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76AF6">
        <w:rPr>
          <w:rFonts w:ascii="Times New Roman" w:hAnsi="Times New Roman" w:cs="Times New Roman"/>
          <w:kern w:val="0"/>
        </w:rPr>
        <w:t>yaitu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34,3%, </w:t>
      </w:r>
      <w:proofErr w:type="spellStart"/>
      <w:r w:rsidRPr="00576AF6">
        <w:rPr>
          <w:rFonts w:ascii="Times New Roman" w:hAnsi="Times New Roman" w:cs="Times New Roman"/>
          <w:kern w:val="0"/>
        </w:rPr>
        <w:t>namun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jumlah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tetap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lebih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kecil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dibandingkan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total </w:t>
      </w:r>
      <w:proofErr w:type="spellStart"/>
      <w:r w:rsidRPr="00576AF6">
        <w:rPr>
          <w:rFonts w:ascii="Times New Roman" w:hAnsi="Times New Roman" w:cs="Times New Roman"/>
          <w:kern w:val="0"/>
        </w:rPr>
        <w:t>responden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76AF6">
        <w:rPr>
          <w:rFonts w:ascii="Times New Roman" w:hAnsi="Times New Roman" w:cs="Times New Roman"/>
          <w:kern w:val="0"/>
        </w:rPr>
        <w:t>mengalami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berbagai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tingkat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interaksi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(65,7%).</w:t>
      </w:r>
    </w:p>
    <w:p w14:paraId="73BB03F1" w14:textId="590604EC" w:rsidR="00576AF6" w:rsidRPr="00576AF6" w:rsidRDefault="00576AF6" w:rsidP="00576AF6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576AF6">
        <w:rPr>
          <w:rFonts w:ascii="Times New Roman" w:hAnsi="Times New Roman" w:cs="Times New Roman"/>
          <w:kern w:val="0"/>
        </w:rPr>
        <w:t>Secara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keseluruhan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76AF6">
        <w:rPr>
          <w:rFonts w:ascii="Times New Roman" w:hAnsi="Times New Roman" w:cs="Times New Roman"/>
          <w:kern w:val="0"/>
        </w:rPr>
        <w:t>hasil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mengindikasikan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bahwa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kejadian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interaksi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obat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dalam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populasi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penelitian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cukup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tinggi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76AF6">
        <w:rPr>
          <w:rFonts w:ascii="Times New Roman" w:hAnsi="Times New Roman" w:cs="Times New Roman"/>
          <w:kern w:val="0"/>
        </w:rPr>
        <w:t>dengan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dominasi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76AF6">
        <w:rPr>
          <w:rFonts w:ascii="Times New Roman" w:hAnsi="Times New Roman" w:cs="Times New Roman"/>
          <w:kern w:val="0"/>
        </w:rPr>
        <w:t>tingkat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moderat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hingga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mayor. </w:t>
      </w:r>
      <w:proofErr w:type="spellStart"/>
      <w:r w:rsidRPr="00576AF6">
        <w:rPr>
          <w:rFonts w:ascii="Times New Roman" w:hAnsi="Times New Roman" w:cs="Times New Roman"/>
          <w:kern w:val="0"/>
        </w:rPr>
        <w:t>Kondisi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memperkuat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pentingnya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pengawasan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rasionalitas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penggunaan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obat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76AF6">
        <w:rPr>
          <w:rFonts w:ascii="Times New Roman" w:hAnsi="Times New Roman" w:cs="Times New Roman"/>
          <w:kern w:val="0"/>
        </w:rPr>
        <w:t>terutama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76AF6">
        <w:rPr>
          <w:rFonts w:ascii="Times New Roman" w:hAnsi="Times New Roman" w:cs="Times New Roman"/>
          <w:kern w:val="0"/>
        </w:rPr>
        <w:t>pasien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dengan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tingkat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polifarmasi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tinggi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76AF6">
        <w:rPr>
          <w:rFonts w:ascii="Times New Roman" w:hAnsi="Times New Roman" w:cs="Times New Roman"/>
          <w:kern w:val="0"/>
        </w:rPr>
        <w:t>karena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hasil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korelasi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sebelumnya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juga </w:t>
      </w:r>
      <w:proofErr w:type="spellStart"/>
      <w:r w:rsidRPr="00576AF6">
        <w:rPr>
          <w:rFonts w:ascii="Times New Roman" w:hAnsi="Times New Roman" w:cs="Times New Roman"/>
          <w:kern w:val="0"/>
        </w:rPr>
        <w:t>menunjukkan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adanya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hubungan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positif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76AF6">
        <w:rPr>
          <w:rFonts w:ascii="Times New Roman" w:hAnsi="Times New Roman" w:cs="Times New Roman"/>
          <w:kern w:val="0"/>
        </w:rPr>
        <w:t>signifikan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antara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polifarmasi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dan </w:t>
      </w:r>
      <w:proofErr w:type="spellStart"/>
      <w:r w:rsidRPr="00576AF6">
        <w:rPr>
          <w:rFonts w:ascii="Times New Roman" w:hAnsi="Times New Roman" w:cs="Times New Roman"/>
          <w:kern w:val="0"/>
        </w:rPr>
        <w:t>interaksi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obat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576AF6">
        <w:rPr>
          <w:rFonts w:ascii="Times New Roman" w:hAnsi="Times New Roman" w:cs="Times New Roman"/>
          <w:kern w:val="0"/>
        </w:rPr>
        <w:t>Artinya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76AF6">
        <w:rPr>
          <w:rFonts w:ascii="Times New Roman" w:hAnsi="Times New Roman" w:cs="Times New Roman"/>
          <w:kern w:val="0"/>
        </w:rPr>
        <w:t>semakin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banyak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jenis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obat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76AF6">
        <w:rPr>
          <w:rFonts w:ascii="Times New Roman" w:hAnsi="Times New Roman" w:cs="Times New Roman"/>
          <w:kern w:val="0"/>
        </w:rPr>
        <w:t>dikonsumsi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76AF6">
        <w:rPr>
          <w:rFonts w:ascii="Times New Roman" w:hAnsi="Times New Roman" w:cs="Times New Roman"/>
          <w:kern w:val="0"/>
        </w:rPr>
        <w:t>semakin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besar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pula </w:t>
      </w:r>
      <w:proofErr w:type="spellStart"/>
      <w:r w:rsidRPr="00576AF6">
        <w:rPr>
          <w:rFonts w:ascii="Times New Roman" w:hAnsi="Times New Roman" w:cs="Times New Roman"/>
          <w:kern w:val="0"/>
        </w:rPr>
        <w:t>kemungkinan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terjadinya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interaksi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76AF6">
        <w:rPr>
          <w:rFonts w:ascii="Times New Roman" w:hAnsi="Times New Roman" w:cs="Times New Roman"/>
          <w:kern w:val="0"/>
        </w:rPr>
        <w:t>berpotensi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memengaruhi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efektivitas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terapi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maupun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menimbulkan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efek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samping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klinis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76AF6">
        <w:rPr>
          <w:rFonts w:ascii="Times New Roman" w:hAnsi="Times New Roman" w:cs="Times New Roman"/>
          <w:kern w:val="0"/>
        </w:rPr>
        <w:t>merugikan</w:t>
      </w:r>
      <w:proofErr w:type="spellEnd"/>
      <w:r w:rsidRPr="00576AF6">
        <w:rPr>
          <w:rFonts w:ascii="Times New Roman" w:hAnsi="Times New Roman" w:cs="Times New Roman"/>
          <w:kern w:val="0"/>
        </w:rPr>
        <w:t>.</w:t>
      </w:r>
    </w:p>
    <w:p w14:paraId="3FC2C712" w14:textId="77777777" w:rsidR="00576AF6" w:rsidRPr="00576AF6" w:rsidRDefault="00576AF6" w:rsidP="00576A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tbl>
      <w:tblPr>
        <w:tblW w:w="808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2275"/>
        <w:gridCol w:w="1169"/>
        <w:gridCol w:w="1030"/>
        <w:gridCol w:w="1399"/>
        <w:gridCol w:w="1476"/>
      </w:tblGrid>
      <w:tr w:rsidR="00576AF6" w:rsidRPr="00576AF6" w14:paraId="1525ED1E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0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5BDC7A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76AF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USIA</w:t>
            </w:r>
          </w:p>
        </w:tc>
      </w:tr>
      <w:tr w:rsidR="00576AF6" w:rsidRPr="00576AF6" w14:paraId="16E0202D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B066599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748648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45060FB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A55B84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4B4CB18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76AF6" w:rsidRPr="00576AF6" w14:paraId="003112DF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3F2AA0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22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531285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Kurang </w:t>
            </w:r>
            <w:proofErr w:type="spellStart"/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dari</w:t>
            </w:r>
            <w:proofErr w:type="spellEnd"/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25 </w:t>
            </w:r>
            <w:proofErr w:type="spellStart"/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thn</w:t>
            </w:r>
            <w:proofErr w:type="spellEnd"/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FA3C59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EA1FD6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10.1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D4382D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7BCB3F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10.1</w:t>
            </w:r>
          </w:p>
        </w:tc>
      </w:tr>
      <w:tr w:rsidR="00576AF6" w:rsidRPr="00576AF6" w14:paraId="483DFA48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ADA676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D7F894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Antara 26 </w:t>
            </w:r>
            <w:proofErr w:type="spellStart"/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thn</w:t>
            </w:r>
            <w:proofErr w:type="spellEnd"/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s/d 35 </w:t>
            </w:r>
            <w:proofErr w:type="spellStart"/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thn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68036E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587F9C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5.1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2445D6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97E520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15.2</w:t>
            </w:r>
          </w:p>
        </w:tc>
      </w:tr>
      <w:tr w:rsidR="00576AF6" w:rsidRPr="00576AF6" w14:paraId="3A9DD9A9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B7672A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FD62EA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Lebih</w:t>
            </w:r>
            <w:proofErr w:type="spellEnd"/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dari</w:t>
            </w:r>
            <w:proofErr w:type="spellEnd"/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35 </w:t>
            </w:r>
            <w:proofErr w:type="spellStart"/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thn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C88EBC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18B983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84.8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9189C4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5F005E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76AF6" w:rsidRPr="00576AF6" w14:paraId="0934A514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B3F51F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2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CF801B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72371E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5B9534B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BD0C1C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C8659ED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534EE5F6" w14:textId="77777777" w:rsidR="00576AF6" w:rsidRPr="00576AF6" w:rsidRDefault="00576AF6" w:rsidP="00576AF6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576AF6">
        <w:rPr>
          <w:rFonts w:ascii="Times New Roman" w:hAnsi="Times New Roman" w:cs="Times New Roman"/>
          <w:kern w:val="0"/>
        </w:rPr>
        <w:t>Berdasarkan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hasil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analisis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distribusi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frekuensi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variabel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Usia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76AF6">
        <w:rPr>
          <w:rFonts w:ascii="Times New Roman" w:hAnsi="Times New Roman" w:cs="Times New Roman"/>
          <w:kern w:val="0"/>
        </w:rPr>
        <w:t>dari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total 99 </w:t>
      </w:r>
      <w:proofErr w:type="spellStart"/>
      <w:r w:rsidRPr="00576AF6">
        <w:rPr>
          <w:rFonts w:ascii="Times New Roman" w:hAnsi="Times New Roman" w:cs="Times New Roman"/>
          <w:kern w:val="0"/>
        </w:rPr>
        <w:t>responden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76AF6">
        <w:rPr>
          <w:rFonts w:ascii="Times New Roman" w:hAnsi="Times New Roman" w:cs="Times New Roman"/>
          <w:kern w:val="0"/>
        </w:rPr>
        <w:t>diperoleh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bahwa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sebanyak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10 </w:t>
      </w:r>
      <w:proofErr w:type="spellStart"/>
      <w:r w:rsidRPr="00576AF6">
        <w:rPr>
          <w:rFonts w:ascii="Times New Roman" w:hAnsi="Times New Roman" w:cs="Times New Roman"/>
          <w:kern w:val="0"/>
        </w:rPr>
        <w:t>responden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(10,1%) </w:t>
      </w:r>
      <w:proofErr w:type="spellStart"/>
      <w:r w:rsidRPr="00576AF6">
        <w:rPr>
          <w:rFonts w:ascii="Times New Roman" w:hAnsi="Times New Roman" w:cs="Times New Roman"/>
          <w:kern w:val="0"/>
        </w:rPr>
        <w:t>berusia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kurang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dari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25 </w:t>
      </w:r>
      <w:proofErr w:type="spellStart"/>
      <w:r w:rsidRPr="00576AF6">
        <w:rPr>
          <w:rFonts w:ascii="Times New Roman" w:hAnsi="Times New Roman" w:cs="Times New Roman"/>
          <w:kern w:val="0"/>
        </w:rPr>
        <w:t>tahun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5 </w:t>
      </w:r>
      <w:proofErr w:type="spellStart"/>
      <w:r w:rsidRPr="00576AF6">
        <w:rPr>
          <w:rFonts w:ascii="Times New Roman" w:hAnsi="Times New Roman" w:cs="Times New Roman"/>
          <w:kern w:val="0"/>
        </w:rPr>
        <w:t>responden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(5,1%) </w:t>
      </w:r>
      <w:proofErr w:type="spellStart"/>
      <w:r w:rsidRPr="00576AF6">
        <w:rPr>
          <w:rFonts w:ascii="Times New Roman" w:hAnsi="Times New Roman" w:cs="Times New Roman"/>
          <w:kern w:val="0"/>
        </w:rPr>
        <w:t>berada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76AF6">
        <w:rPr>
          <w:rFonts w:ascii="Times New Roman" w:hAnsi="Times New Roman" w:cs="Times New Roman"/>
          <w:kern w:val="0"/>
        </w:rPr>
        <w:t>rentang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usia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26 </w:t>
      </w:r>
      <w:proofErr w:type="spellStart"/>
      <w:r w:rsidRPr="00576AF6">
        <w:rPr>
          <w:rFonts w:ascii="Times New Roman" w:hAnsi="Times New Roman" w:cs="Times New Roman"/>
          <w:kern w:val="0"/>
        </w:rPr>
        <w:t>hingga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35 </w:t>
      </w:r>
      <w:proofErr w:type="spellStart"/>
      <w:r w:rsidRPr="00576AF6">
        <w:rPr>
          <w:rFonts w:ascii="Times New Roman" w:hAnsi="Times New Roman" w:cs="Times New Roman"/>
          <w:kern w:val="0"/>
        </w:rPr>
        <w:t>tahun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dan </w:t>
      </w:r>
      <w:proofErr w:type="spellStart"/>
      <w:r w:rsidRPr="00576AF6">
        <w:rPr>
          <w:rFonts w:ascii="Times New Roman" w:hAnsi="Times New Roman" w:cs="Times New Roman"/>
          <w:kern w:val="0"/>
        </w:rPr>
        <w:t>mayoritas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yaitu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84 </w:t>
      </w:r>
      <w:proofErr w:type="spellStart"/>
      <w:r w:rsidRPr="00576AF6">
        <w:rPr>
          <w:rFonts w:ascii="Times New Roman" w:hAnsi="Times New Roman" w:cs="Times New Roman"/>
          <w:kern w:val="0"/>
        </w:rPr>
        <w:t>responden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(84,8%) </w:t>
      </w:r>
      <w:proofErr w:type="spellStart"/>
      <w:r w:rsidRPr="00576AF6">
        <w:rPr>
          <w:rFonts w:ascii="Times New Roman" w:hAnsi="Times New Roman" w:cs="Times New Roman"/>
          <w:kern w:val="0"/>
        </w:rPr>
        <w:t>berusia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lebih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dari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35 </w:t>
      </w:r>
      <w:proofErr w:type="spellStart"/>
      <w:r w:rsidRPr="00576AF6">
        <w:rPr>
          <w:rFonts w:ascii="Times New Roman" w:hAnsi="Times New Roman" w:cs="Times New Roman"/>
          <w:kern w:val="0"/>
        </w:rPr>
        <w:t>tahun</w:t>
      </w:r>
      <w:proofErr w:type="spellEnd"/>
      <w:r w:rsidRPr="00576AF6">
        <w:rPr>
          <w:rFonts w:ascii="Times New Roman" w:hAnsi="Times New Roman" w:cs="Times New Roman"/>
          <w:kern w:val="0"/>
        </w:rPr>
        <w:t>.</w:t>
      </w:r>
    </w:p>
    <w:p w14:paraId="14D8E3F0" w14:textId="77777777" w:rsidR="00576AF6" w:rsidRPr="00576AF6" w:rsidRDefault="00576AF6" w:rsidP="00576AF6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576AF6">
        <w:rPr>
          <w:rFonts w:ascii="Times New Roman" w:hAnsi="Times New Roman" w:cs="Times New Roman"/>
          <w:kern w:val="0"/>
        </w:rPr>
        <w:t>Distribusi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menunjukkan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bahwa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kelompok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usia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&gt;35 </w:t>
      </w:r>
      <w:proofErr w:type="spellStart"/>
      <w:r w:rsidRPr="00576AF6">
        <w:rPr>
          <w:rFonts w:ascii="Times New Roman" w:hAnsi="Times New Roman" w:cs="Times New Roman"/>
          <w:kern w:val="0"/>
        </w:rPr>
        <w:t>tahun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mendominasi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populasi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penelitian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76AF6">
        <w:rPr>
          <w:rFonts w:ascii="Times New Roman" w:hAnsi="Times New Roman" w:cs="Times New Roman"/>
          <w:kern w:val="0"/>
        </w:rPr>
        <w:t>dengan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proporsi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mencapai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lebih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dari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tiga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perempat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dari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total </w:t>
      </w:r>
      <w:proofErr w:type="spellStart"/>
      <w:r w:rsidRPr="00576AF6">
        <w:rPr>
          <w:rFonts w:ascii="Times New Roman" w:hAnsi="Times New Roman" w:cs="Times New Roman"/>
          <w:kern w:val="0"/>
        </w:rPr>
        <w:t>responden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576AF6">
        <w:rPr>
          <w:rFonts w:ascii="Times New Roman" w:hAnsi="Times New Roman" w:cs="Times New Roman"/>
          <w:kern w:val="0"/>
        </w:rPr>
        <w:t>Sebaliknya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76AF6">
        <w:rPr>
          <w:rFonts w:ascii="Times New Roman" w:hAnsi="Times New Roman" w:cs="Times New Roman"/>
          <w:kern w:val="0"/>
        </w:rPr>
        <w:t>kelompok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usia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muda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(&lt;25 </w:t>
      </w:r>
      <w:proofErr w:type="spellStart"/>
      <w:r w:rsidRPr="00576AF6">
        <w:rPr>
          <w:rFonts w:ascii="Times New Roman" w:hAnsi="Times New Roman" w:cs="Times New Roman"/>
          <w:kern w:val="0"/>
        </w:rPr>
        <w:t>tahun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) dan </w:t>
      </w:r>
      <w:proofErr w:type="spellStart"/>
      <w:r w:rsidRPr="00576AF6">
        <w:rPr>
          <w:rFonts w:ascii="Times New Roman" w:hAnsi="Times New Roman" w:cs="Times New Roman"/>
          <w:kern w:val="0"/>
        </w:rPr>
        <w:t>usia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produktif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awal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(26–35 </w:t>
      </w:r>
      <w:proofErr w:type="spellStart"/>
      <w:r w:rsidRPr="00576AF6">
        <w:rPr>
          <w:rFonts w:ascii="Times New Roman" w:hAnsi="Times New Roman" w:cs="Times New Roman"/>
          <w:kern w:val="0"/>
        </w:rPr>
        <w:t>tahun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) </w:t>
      </w:r>
      <w:proofErr w:type="spellStart"/>
      <w:r w:rsidRPr="00576AF6">
        <w:rPr>
          <w:rFonts w:ascii="Times New Roman" w:hAnsi="Times New Roman" w:cs="Times New Roman"/>
          <w:kern w:val="0"/>
        </w:rPr>
        <w:t>hanya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mencakup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sebagian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kecil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populasi</w:t>
      </w:r>
      <w:proofErr w:type="spellEnd"/>
      <w:r w:rsidRPr="00576AF6">
        <w:rPr>
          <w:rFonts w:ascii="Times New Roman" w:hAnsi="Times New Roman" w:cs="Times New Roman"/>
          <w:kern w:val="0"/>
        </w:rPr>
        <w:t>.</w:t>
      </w:r>
    </w:p>
    <w:p w14:paraId="5FAD324C" w14:textId="77777777" w:rsidR="00576AF6" w:rsidRPr="00576AF6" w:rsidRDefault="00576AF6" w:rsidP="00576AF6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576AF6">
        <w:rPr>
          <w:rFonts w:ascii="Times New Roman" w:hAnsi="Times New Roman" w:cs="Times New Roman"/>
          <w:kern w:val="0"/>
        </w:rPr>
        <w:t>Temuan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mengindikasikan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bahwa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sebagian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besar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responden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berasal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dari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kelompok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usia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dewasa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dan </w:t>
      </w:r>
      <w:proofErr w:type="spellStart"/>
      <w:r w:rsidRPr="00576AF6">
        <w:rPr>
          <w:rFonts w:ascii="Times New Roman" w:hAnsi="Times New Roman" w:cs="Times New Roman"/>
          <w:kern w:val="0"/>
        </w:rPr>
        <w:t>lanjut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usia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yang </w:t>
      </w:r>
      <w:proofErr w:type="spellStart"/>
      <w:r w:rsidRPr="00576AF6">
        <w:rPr>
          <w:rFonts w:ascii="Times New Roman" w:hAnsi="Times New Roman" w:cs="Times New Roman"/>
          <w:kern w:val="0"/>
        </w:rPr>
        <w:t>umumnya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memiliki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risiko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lebih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tinggi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terhadap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polifarmasi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akibat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meningkatnya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prevalensi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penyakit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kronis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dan </w:t>
      </w:r>
      <w:proofErr w:type="spellStart"/>
      <w:r w:rsidRPr="00576AF6">
        <w:rPr>
          <w:rFonts w:ascii="Times New Roman" w:hAnsi="Times New Roman" w:cs="Times New Roman"/>
          <w:kern w:val="0"/>
        </w:rPr>
        <w:t>kebutuhan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terapi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jangka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panjang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576AF6">
        <w:rPr>
          <w:rFonts w:ascii="Times New Roman" w:hAnsi="Times New Roman" w:cs="Times New Roman"/>
          <w:kern w:val="0"/>
        </w:rPr>
        <w:t>Kondisi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selaras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dengan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literatur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farmakoepidemiologi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76AF6">
        <w:rPr>
          <w:rFonts w:ascii="Times New Roman" w:hAnsi="Times New Roman" w:cs="Times New Roman"/>
          <w:kern w:val="0"/>
        </w:rPr>
        <w:t>menyebutkan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bahwa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individu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76AF6">
        <w:rPr>
          <w:rFonts w:ascii="Times New Roman" w:hAnsi="Times New Roman" w:cs="Times New Roman"/>
          <w:kern w:val="0"/>
        </w:rPr>
        <w:t>kelompok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usia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lanjut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cenderung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mengonsumsi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lebih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banyak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jenis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obat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76AF6">
        <w:rPr>
          <w:rFonts w:ascii="Times New Roman" w:hAnsi="Times New Roman" w:cs="Times New Roman"/>
          <w:kern w:val="0"/>
        </w:rPr>
        <w:t>sehingga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berpotensi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lebih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besar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mengalami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interaksi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obat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maupun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efek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76AF6">
        <w:rPr>
          <w:rFonts w:ascii="Times New Roman" w:hAnsi="Times New Roman" w:cs="Times New Roman"/>
          <w:kern w:val="0"/>
        </w:rPr>
        <w:t>samping</w:t>
      </w:r>
      <w:proofErr w:type="spellEnd"/>
      <w:r w:rsidRPr="00576AF6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76AF6">
        <w:rPr>
          <w:rFonts w:ascii="Times New Roman" w:hAnsi="Times New Roman" w:cs="Times New Roman"/>
          <w:kern w:val="0"/>
        </w:rPr>
        <w:t>kompleks</w:t>
      </w:r>
      <w:proofErr w:type="spellEnd"/>
      <w:r w:rsidRPr="00576AF6">
        <w:rPr>
          <w:rFonts w:ascii="Times New Roman" w:hAnsi="Times New Roman" w:cs="Times New Roman"/>
          <w:kern w:val="0"/>
        </w:rPr>
        <w:t>.</w:t>
      </w:r>
    </w:p>
    <w:p w14:paraId="43ADAAC9" w14:textId="77777777" w:rsidR="00576AF6" w:rsidRDefault="00576AF6" w:rsidP="00576A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19489B18" w14:textId="77777777" w:rsidR="00576AF6" w:rsidRDefault="00576AF6" w:rsidP="00576A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2D39759F" w14:textId="77777777" w:rsidR="00576AF6" w:rsidRPr="00576AF6" w:rsidRDefault="00576AF6" w:rsidP="00576A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787DB589" w14:textId="77777777" w:rsidR="00576AF6" w:rsidRPr="00576AF6" w:rsidRDefault="00576AF6" w:rsidP="00576A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tbl>
      <w:tblPr>
        <w:tblW w:w="760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799"/>
        <w:gridCol w:w="1169"/>
        <w:gridCol w:w="1030"/>
        <w:gridCol w:w="1399"/>
        <w:gridCol w:w="1476"/>
      </w:tblGrid>
      <w:tr w:rsidR="00576AF6" w:rsidRPr="00576AF6" w14:paraId="641D5172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6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AA44C8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76AF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lastRenderedPageBreak/>
              <w:t>RAWAT INAP</w:t>
            </w:r>
          </w:p>
        </w:tc>
      </w:tr>
      <w:tr w:rsidR="00576AF6" w:rsidRPr="00576AF6" w14:paraId="1E93ED4B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53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3CA635F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530F01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B734487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189421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9F7B2D2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76AF6" w:rsidRPr="00576AF6" w14:paraId="52424C56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032945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17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52F970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Kurang </w:t>
            </w:r>
            <w:proofErr w:type="spellStart"/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dari</w:t>
            </w:r>
            <w:proofErr w:type="spellEnd"/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7 </w:t>
            </w:r>
            <w:proofErr w:type="spellStart"/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hari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37E818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CFD994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77.8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DADC15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77.8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39D8E2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77.8</w:t>
            </w:r>
          </w:p>
        </w:tc>
      </w:tr>
      <w:tr w:rsidR="00576AF6" w:rsidRPr="00576AF6" w14:paraId="2E07FD58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77715B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44A267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7 </w:t>
            </w:r>
            <w:proofErr w:type="spellStart"/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sampai</w:t>
            </w:r>
            <w:proofErr w:type="spellEnd"/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14 </w:t>
            </w:r>
            <w:proofErr w:type="spellStart"/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hari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1703F0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FEE2B5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19.2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4C0F66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F78722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97.0</w:t>
            </w:r>
          </w:p>
        </w:tc>
      </w:tr>
      <w:tr w:rsidR="00576AF6" w:rsidRPr="00576AF6" w14:paraId="0D9FD52A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8ED238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235921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Di </w:t>
            </w:r>
            <w:proofErr w:type="spellStart"/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atas</w:t>
            </w:r>
            <w:proofErr w:type="spellEnd"/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14 </w:t>
            </w:r>
            <w:proofErr w:type="spellStart"/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hari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1F15F6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9A6970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CBDD41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F3F236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76AF6" w:rsidRPr="00576AF6" w14:paraId="23218B8A" w14:textId="77777777" w:rsidTr="00576A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C1740A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8D7DEB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6249BDA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57BE13A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C7C182D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76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FB879B3" w14:textId="77777777" w:rsidR="00576AF6" w:rsidRPr="00576AF6" w:rsidRDefault="00576AF6" w:rsidP="0057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58F2F9DC" w14:textId="77777777" w:rsidR="00576AF6" w:rsidRPr="00576AF6" w:rsidRDefault="00576AF6" w:rsidP="00576A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57FC80EB" w14:textId="77777777" w:rsidR="00576AF6" w:rsidRPr="00576AF6" w:rsidRDefault="00576AF6" w:rsidP="00576AF6">
      <w:pPr>
        <w:spacing w:after="0"/>
        <w:ind w:firstLine="567"/>
        <w:jc w:val="both"/>
        <w:rPr>
          <w:rFonts w:ascii="Times New Roman" w:hAnsi="Times New Roman" w:cs="Times New Roman"/>
        </w:rPr>
      </w:pPr>
      <w:proofErr w:type="spellStart"/>
      <w:r w:rsidRPr="00576AF6">
        <w:rPr>
          <w:rFonts w:ascii="Times New Roman" w:hAnsi="Times New Roman" w:cs="Times New Roman"/>
        </w:rPr>
        <w:t>Berdasarkan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hasil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analisis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distribusi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frekuensi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variabel</w:t>
      </w:r>
      <w:proofErr w:type="spellEnd"/>
      <w:r w:rsidRPr="00576AF6">
        <w:rPr>
          <w:rFonts w:ascii="Times New Roman" w:hAnsi="Times New Roman" w:cs="Times New Roman"/>
        </w:rPr>
        <w:t xml:space="preserve"> Lama Rawat Inap, </w:t>
      </w:r>
      <w:proofErr w:type="spellStart"/>
      <w:r w:rsidRPr="00576AF6">
        <w:rPr>
          <w:rFonts w:ascii="Times New Roman" w:hAnsi="Times New Roman" w:cs="Times New Roman"/>
        </w:rPr>
        <w:t>dari</w:t>
      </w:r>
      <w:proofErr w:type="spellEnd"/>
      <w:r w:rsidRPr="00576AF6">
        <w:rPr>
          <w:rFonts w:ascii="Times New Roman" w:hAnsi="Times New Roman" w:cs="Times New Roman"/>
        </w:rPr>
        <w:t xml:space="preserve"> total 99 </w:t>
      </w:r>
      <w:proofErr w:type="spellStart"/>
      <w:r w:rsidRPr="00576AF6">
        <w:rPr>
          <w:rFonts w:ascii="Times New Roman" w:hAnsi="Times New Roman" w:cs="Times New Roman"/>
        </w:rPr>
        <w:t>responden</w:t>
      </w:r>
      <w:proofErr w:type="spellEnd"/>
      <w:r w:rsidRPr="00576AF6">
        <w:rPr>
          <w:rFonts w:ascii="Times New Roman" w:hAnsi="Times New Roman" w:cs="Times New Roman"/>
        </w:rPr>
        <w:t xml:space="preserve">, </w:t>
      </w:r>
      <w:proofErr w:type="spellStart"/>
      <w:r w:rsidRPr="00576AF6">
        <w:rPr>
          <w:rFonts w:ascii="Times New Roman" w:hAnsi="Times New Roman" w:cs="Times New Roman"/>
        </w:rPr>
        <w:t>diketahui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bahwa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sebanyak</w:t>
      </w:r>
      <w:proofErr w:type="spellEnd"/>
      <w:r w:rsidRPr="00576AF6">
        <w:rPr>
          <w:rFonts w:ascii="Times New Roman" w:hAnsi="Times New Roman" w:cs="Times New Roman"/>
        </w:rPr>
        <w:t xml:space="preserve"> 77 </w:t>
      </w:r>
      <w:proofErr w:type="spellStart"/>
      <w:r w:rsidRPr="00576AF6">
        <w:rPr>
          <w:rFonts w:ascii="Times New Roman" w:hAnsi="Times New Roman" w:cs="Times New Roman"/>
        </w:rPr>
        <w:t>responden</w:t>
      </w:r>
      <w:proofErr w:type="spellEnd"/>
      <w:r w:rsidRPr="00576AF6">
        <w:rPr>
          <w:rFonts w:ascii="Times New Roman" w:hAnsi="Times New Roman" w:cs="Times New Roman"/>
        </w:rPr>
        <w:t xml:space="preserve"> (77,8%) </w:t>
      </w:r>
      <w:proofErr w:type="spellStart"/>
      <w:r w:rsidRPr="00576AF6">
        <w:rPr>
          <w:rFonts w:ascii="Times New Roman" w:hAnsi="Times New Roman" w:cs="Times New Roman"/>
        </w:rPr>
        <w:t>menjalani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perawatan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kurang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dari</w:t>
      </w:r>
      <w:proofErr w:type="spellEnd"/>
      <w:r w:rsidRPr="00576AF6">
        <w:rPr>
          <w:rFonts w:ascii="Times New Roman" w:hAnsi="Times New Roman" w:cs="Times New Roman"/>
        </w:rPr>
        <w:t xml:space="preserve"> 7 </w:t>
      </w:r>
      <w:proofErr w:type="spellStart"/>
      <w:r w:rsidRPr="00576AF6">
        <w:rPr>
          <w:rFonts w:ascii="Times New Roman" w:hAnsi="Times New Roman" w:cs="Times New Roman"/>
        </w:rPr>
        <w:t>hari</w:t>
      </w:r>
      <w:proofErr w:type="spellEnd"/>
      <w:r w:rsidRPr="00576AF6">
        <w:rPr>
          <w:rFonts w:ascii="Times New Roman" w:hAnsi="Times New Roman" w:cs="Times New Roman"/>
        </w:rPr>
        <w:t xml:space="preserve">, 19 </w:t>
      </w:r>
      <w:proofErr w:type="spellStart"/>
      <w:r w:rsidRPr="00576AF6">
        <w:rPr>
          <w:rFonts w:ascii="Times New Roman" w:hAnsi="Times New Roman" w:cs="Times New Roman"/>
        </w:rPr>
        <w:t>responden</w:t>
      </w:r>
      <w:proofErr w:type="spellEnd"/>
      <w:r w:rsidRPr="00576AF6">
        <w:rPr>
          <w:rFonts w:ascii="Times New Roman" w:hAnsi="Times New Roman" w:cs="Times New Roman"/>
        </w:rPr>
        <w:t xml:space="preserve"> (19,2%) </w:t>
      </w:r>
      <w:proofErr w:type="spellStart"/>
      <w:r w:rsidRPr="00576AF6">
        <w:rPr>
          <w:rFonts w:ascii="Times New Roman" w:hAnsi="Times New Roman" w:cs="Times New Roman"/>
        </w:rPr>
        <w:t>dirawat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selama</w:t>
      </w:r>
      <w:proofErr w:type="spellEnd"/>
      <w:r w:rsidRPr="00576AF6">
        <w:rPr>
          <w:rFonts w:ascii="Times New Roman" w:hAnsi="Times New Roman" w:cs="Times New Roman"/>
        </w:rPr>
        <w:t xml:space="preserve"> 7 </w:t>
      </w:r>
      <w:proofErr w:type="spellStart"/>
      <w:r w:rsidRPr="00576AF6">
        <w:rPr>
          <w:rFonts w:ascii="Times New Roman" w:hAnsi="Times New Roman" w:cs="Times New Roman"/>
        </w:rPr>
        <w:t>hingga</w:t>
      </w:r>
      <w:proofErr w:type="spellEnd"/>
      <w:r w:rsidRPr="00576AF6">
        <w:rPr>
          <w:rFonts w:ascii="Times New Roman" w:hAnsi="Times New Roman" w:cs="Times New Roman"/>
        </w:rPr>
        <w:t xml:space="preserve"> 14 </w:t>
      </w:r>
      <w:proofErr w:type="spellStart"/>
      <w:r w:rsidRPr="00576AF6">
        <w:rPr>
          <w:rFonts w:ascii="Times New Roman" w:hAnsi="Times New Roman" w:cs="Times New Roman"/>
        </w:rPr>
        <w:t>hari</w:t>
      </w:r>
      <w:proofErr w:type="spellEnd"/>
      <w:r w:rsidRPr="00576AF6">
        <w:rPr>
          <w:rFonts w:ascii="Times New Roman" w:hAnsi="Times New Roman" w:cs="Times New Roman"/>
        </w:rPr>
        <w:t xml:space="preserve">, dan </w:t>
      </w:r>
      <w:proofErr w:type="spellStart"/>
      <w:r w:rsidRPr="00576AF6">
        <w:rPr>
          <w:rFonts w:ascii="Times New Roman" w:hAnsi="Times New Roman" w:cs="Times New Roman"/>
        </w:rPr>
        <w:t>hanya</w:t>
      </w:r>
      <w:proofErr w:type="spellEnd"/>
      <w:r w:rsidRPr="00576AF6">
        <w:rPr>
          <w:rFonts w:ascii="Times New Roman" w:hAnsi="Times New Roman" w:cs="Times New Roman"/>
        </w:rPr>
        <w:t xml:space="preserve"> 3 </w:t>
      </w:r>
      <w:proofErr w:type="spellStart"/>
      <w:r w:rsidRPr="00576AF6">
        <w:rPr>
          <w:rFonts w:ascii="Times New Roman" w:hAnsi="Times New Roman" w:cs="Times New Roman"/>
        </w:rPr>
        <w:t>responden</w:t>
      </w:r>
      <w:proofErr w:type="spellEnd"/>
      <w:r w:rsidRPr="00576AF6">
        <w:rPr>
          <w:rFonts w:ascii="Times New Roman" w:hAnsi="Times New Roman" w:cs="Times New Roman"/>
        </w:rPr>
        <w:t xml:space="preserve"> (3,0%) yang </w:t>
      </w:r>
      <w:proofErr w:type="spellStart"/>
      <w:r w:rsidRPr="00576AF6">
        <w:rPr>
          <w:rFonts w:ascii="Times New Roman" w:hAnsi="Times New Roman" w:cs="Times New Roman"/>
        </w:rPr>
        <w:t>menjalani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perawatan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lebih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dari</w:t>
      </w:r>
      <w:proofErr w:type="spellEnd"/>
      <w:r w:rsidRPr="00576AF6">
        <w:rPr>
          <w:rFonts w:ascii="Times New Roman" w:hAnsi="Times New Roman" w:cs="Times New Roman"/>
        </w:rPr>
        <w:t xml:space="preserve"> 14 </w:t>
      </w:r>
      <w:proofErr w:type="spellStart"/>
      <w:r w:rsidRPr="00576AF6">
        <w:rPr>
          <w:rFonts w:ascii="Times New Roman" w:hAnsi="Times New Roman" w:cs="Times New Roman"/>
        </w:rPr>
        <w:t>hari</w:t>
      </w:r>
      <w:proofErr w:type="spellEnd"/>
      <w:r w:rsidRPr="00576AF6">
        <w:rPr>
          <w:rFonts w:ascii="Times New Roman" w:hAnsi="Times New Roman" w:cs="Times New Roman"/>
        </w:rPr>
        <w:t>.</w:t>
      </w:r>
    </w:p>
    <w:p w14:paraId="0CEAA36C" w14:textId="77777777" w:rsidR="00576AF6" w:rsidRPr="00576AF6" w:rsidRDefault="00576AF6" w:rsidP="00576AF6">
      <w:pPr>
        <w:spacing w:after="0"/>
        <w:ind w:firstLine="567"/>
        <w:jc w:val="both"/>
        <w:rPr>
          <w:rFonts w:ascii="Times New Roman" w:hAnsi="Times New Roman" w:cs="Times New Roman"/>
        </w:rPr>
      </w:pPr>
      <w:proofErr w:type="spellStart"/>
      <w:r w:rsidRPr="00576AF6">
        <w:rPr>
          <w:rFonts w:ascii="Times New Roman" w:hAnsi="Times New Roman" w:cs="Times New Roman"/>
        </w:rPr>
        <w:t>Distribusi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ini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menunjukkan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bahwa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mayoritas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pasien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dirawat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dalam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jangka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waktu</w:t>
      </w:r>
      <w:proofErr w:type="spellEnd"/>
      <w:r w:rsidRPr="00576AF6">
        <w:rPr>
          <w:rFonts w:ascii="Times New Roman" w:hAnsi="Times New Roman" w:cs="Times New Roman"/>
        </w:rPr>
        <w:t xml:space="preserve"> yang </w:t>
      </w:r>
      <w:proofErr w:type="spellStart"/>
      <w:r w:rsidRPr="00576AF6">
        <w:rPr>
          <w:rFonts w:ascii="Times New Roman" w:hAnsi="Times New Roman" w:cs="Times New Roman"/>
        </w:rPr>
        <w:t>relatif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singkat</w:t>
      </w:r>
      <w:proofErr w:type="spellEnd"/>
      <w:r w:rsidRPr="00576AF6">
        <w:rPr>
          <w:rFonts w:ascii="Times New Roman" w:hAnsi="Times New Roman" w:cs="Times New Roman"/>
        </w:rPr>
        <w:t xml:space="preserve">, </w:t>
      </w:r>
      <w:proofErr w:type="spellStart"/>
      <w:r w:rsidRPr="00576AF6">
        <w:rPr>
          <w:rFonts w:ascii="Times New Roman" w:hAnsi="Times New Roman" w:cs="Times New Roman"/>
        </w:rPr>
        <w:t>yaitu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kurang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dari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satu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minggu</w:t>
      </w:r>
      <w:proofErr w:type="spellEnd"/>
      <w:r w:rsidRPr="00576AF6">
        <w:rPr>
          <w:rFonts w:ascii="Times New Roman" w:hAnsi="Times New Roman" w:cs="Times New Roman"/>
        </w:rPr>
        <w:t xml:space="preserve">. Hanya </w:t>
      </w:r>
      <w:proofErr w:type="spellStart"/>
      <w:r w:rsidRPr="00576AF6">
        <w:rPr>
          <w:rFonts w:ascii="Times New Roman" w:hAnsi="Times New Roman" w:cs="Times New Roman"/>
        </w:rPr>
        <w:t>sebagian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kecil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pasien</w:t>
      </w:r>
      <w:proofErr w:type="spellEnd"/>
      <w:r w:rsidRPr="00576AF6">
        <w:rPr>
          <w:rFonts w:ascii="Times New Roman" w:hAnsi="Times New Roman" w:cs="Times New Roman"/>
        </w:rPr>
        <w:t xml:space="preserve"> yang </w:t>
      </w:r>
      <w:proofErr w:type="spellStart"/>
      <w:r w:rsidRPr="00576AF6">
        <w:rPr>
          <w:rFonts w:ascii="Times New Roman" w:hAnsi="Times New Roman" w:cs="Times New Roman"/>
        </w:rPr>
        <w:t>membutuhkan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perawatan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lebih</w:t>
      </w:r>
      <w:proofErr w:type="spellEnd"/>
      <w:r w:rsidRPr="00576AF6">
        <w:rPr>
          <w:rFonts w:ascii="Times New Roman" w:hAnsi="Times New Roman" w:cs="Times New Roman"/>
        </w:rPr>
        <w:t xml:space="preserve"> lama </w:t>
      </w:r>
      <w:proofErr w:type="spellStart"/>
      <w:r w:rsidRPr="00576AF6">
        <w:rPr>
          <w:rFonts w:ascii="Times New Roman" w:hAnsi="Times New Roman" w:cs="Times New Roman"/>
        </w:rPr>
        <w:t>dari</w:t>
      </w:r>
      <w:proofErr w:type="spellEnd"/>
      <w:r w:rsidRPr="00576AF6">
        <w:rPr>
          <w:rFonts w:ascii="Times New Roman" w:hAnsi="Times New Roman" w:cs="Times New Roman"/>
        </w:rPr>
        <w:t xml:space="preserve"> 7 </w:t>
      </w:r>
      <w:proofErr w:type="spellStart"/>
      <w:r w:rsidRPr="00576AF6">
        <w:rPr>
          <w:rFonts w:ascii="Times New Roman" w:hAnsi="Times New Roman" w:cs="Times New Roman"/>
        </w:rPr>
        <w:t>hari</w:t>
      </w:r>
      <w:proofErr w:type="spellEnd"/>
      <w:r w:rsidRPr="00576AF6">
        <w:rPr>
          <w:rFonts w:ascii="Times New Roman" w:hAnsi="Times New Roman" w:cs="Times New Roman"/>
        </w:rPr>
        <w:t xml:space="preserve">, dan sangat </w:t>
      </w:r>
      <w:proofErr w:type="spellStart"/>
      <w:r w:rsidRPr="00576AF6">
        <w:rPr>
          <w:rFonts w:ascii="Times New Roman" w:hAnsi="Times New Roman" w:cs="Times New Roman"/>
        </w:rPr>
        <w:t>sedikit</w:t>
      </w:r>
      <w:proofErr w:type="spellEnd"/>
      <w:r w:rsidRPr="00576AF6">
        <w:rPr>
          <w:rFonts w:ascii="Times New Roman" w:hAnsi="Times New Roman" w:cs="Times New Roman"/>
        </w:rPr>
        <w:t xml:space="preserve"> yang </w:t>
      </w:r>
      <w:proofErr w:type="spellStart"/>
      <w:r w:rsidRPr="00576AF6">
        <w:rPr>
          <w:rFonts w:ascii="Times New Roman" w:hAnsi="Times New Roman" w:cs="Times New Roman"/>
        </w:rPr>
        <w:t>dirawat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lebih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dari</w:t>
      </w:r>
      <w:proofErr w:type="spellEnd"/>
      <w:r w:rsidRPr="00576AF6">
        <w:rPr>
          <w:rFonts w:ascii="Times New Roman" w:hAnsi="Times New Roman" w:cs="Times New Roman"/>
        </w:rPr>
        <w:t xml:space="preserve"> dua </w:t>
      </w:r>
      <w:proofErr w:type="spellStart"/>
      <w:r w:rsidRPr="00576AF6">
        <w:rPr>
          <w:rFonts w:ascii="Times New Roman" w:hAnsi="Times New Roman" w:cs="Times New Roman"/>
        </w:rPr>
        <w:t>minggu</w:t>
      </w:r>
      <w:proofErr w:type="spellEnd"/>
      <w:r w:rsidRPr="00576AF6">
        <w:rPr>
          <w:rFonts w:ascii="Times New Roman" w:hAnsi="Times New Roman" w:cs="Times New Roman"/>
        </w:rPr>
        <w:t>.</w:t>
      </w:r>
    </w:p>
    <w:p w14:paraId="208C16DD" w14:textId="77777777" w:rsidR="00576AF6" w:rsidRPr="00576AF6" w:rsidRDefault="00576AF6" w:rsidP="00576AF6">
      <w:pPr>
        <w:spacing w:after="0"/>
        <w:ind w:firstLine="567"/>
        <w:jc w:val="both"/>
        <w:rPr>
          <w:rFonts w:ascii="Times New Roman" w:hAnsi="Times New Roman" w:cs="Times New Roman"/>
        </w:rPr>
      </w:pPr>
      <w:proofErr w:type="spellStart"/>
      <w:r w:rsidRPr="00576AF6">
        <w:rPr>
          <w:rFonts w:ascii="Times New Roman" w:hAnsi="Times New Roman" w:cs="Times New Roman"/>
        </w:rPr>
        <w:t>Secara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umum</w:t>
      </w:r>
      <w:proofErr w:type="spellEnd"/>
      <w:r w:rsidRPr="00576AF6">
        <w:rPr>
          <w:rFonts w:ascii="Times New Roman" w:hAnsi="Times New Roman" w:cs="Times New Roman"/>
        </w:rPr>
        <w:t xml:space="preserve">, </w:t>
      </w:r>
      <w:proofErr w:type="spellStart"/>
      <w:r w:rsidRPr="00576AF6">
        <w:rPr>
          <w:rFonts w:ascii="Times New Roman" w:hAnsi="Times New Roman" w:cs="Times New Roman"/>
        </w:rPr>
        <w:t>hasil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ini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mengindikasikan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bahwa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durasi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rawat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inap</w:t>
      </w:r>
      <w:proofErr w:type="spellEnd"/>
      <w:r w:rsidRPr="00576AF6">
        <w:rPr>
          <w:rFonts w:ascii="Times New Roman" w:hAnsi="Times New Roman" w:cs="Times New Roman"/>
        </w:rPr>
        <w:t xml:space="preserve"> di </w:t>
      </w:r>
      <w:proofErr w:type="spellStart"/>
      <w:r w:rsidRPr="00576AF6">
        <w:rPr>
          <w:rFonts w:ascii="Times New Roman" w:hAnsi="Times New Roman" w:cs="Times New Roman"/>
        </w:rPr>
        <w:t>populasi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penelitian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cenderung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pendek</w:t>
      </w:r>
      <w:proofErr w:type="spellEnd"/>
      <w:r w:rsidRPr="00576AF6">
        <w:rPr>
          <w:rFonts w:ascii="Times New Roman" w:hAnsi="Times New Roman" w:cs="Times New Roman"/>
        </w:rPr>
        <w:t xml:space="preserve">, yang </w:t>
      </w:r>
      <w:proofErr w:type="spellStart"/>
      <w:r w:rsidRPr="00576AF6">
        <w:rPr>
          <w:rFonts w:ascii="Times New Roman" w:hAnsi="Times New Roman" w:cs="Times New Roman"/>
        </w:rPr>
        <w:t>dapat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menggambarkan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bahwa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kondisi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klinis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sebagian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besar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pasien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relatif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cepat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membaik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atau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penanganan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medis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berjalan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efektif</w:t>
      </w:r>
      <w:proofErr w:type="spellEnd"/>
      <w:r w:rsidRPr="00576AF6">
        <w:rPr>
          <w:rFonts w:ascii="Times New Roman" w:hAnsi="Times New Roman" w:cs="Times New Roman"/>
        </w:rPr>
        <w:t xml:space="preserve">. </w:t>
      </w:r>
      <w:proofErr w:type="spellStart"/>
      <w:r w:rsidRPr="00576AF6">
        <w:rPr>
          <w:rFonts w:ascii="Times New Roman" w:hAnsi="Times New Roman" w:cs="Times New Roman"/>
        </w:rPr>
        <w:t>Namun</w:t>
      </w:r>
      <w:proofErr w:type="spellEnd"/>
      <w:r w:rsidRPr="00576AF6">
        <w:rPr>
          <w:rFonts w:ascii="Times New Roman" w:hAnsi="Times New Roman" w:cs="Times New Roman"/>
        </w:rPr>
        <w:t xml:space="preserve">, </w:t>
      </w:r>
      <w:proofErr w:type="spellStart"/>
      <w:r w:rsidRPr="00576AF6">
        <w:rPr>
          <w:rFonts w:ascii="Times New Roman" w:hAnsi="Times New Roman" w:cs="Times New Roman"/>
        </w:rPr>
        <w:t>penting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untuk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dicermati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bahwa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pasien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dengan</w:t>
      </w:r>
      <w:proofErr w:type="spellEnd"/>
      <w:r w:rsidRPr="00576AF6">
        <w:rPr>
          <w:rFonts w:ascii="Times New Roman" w:hAnsi="Times New Roman" w:cs="Times New Roman"/>
        </w:rPr>
        <w:t xml:space="preserve"> lama </w:t>
      </w:r>
      <w:proofErr w:type="spellStart"/>
      <w:r w:rsidRPr="00576AF6">
        <w:rPr>
          <w:rFonts w:ascii="Times New Roman" w:hAnsi="Times New Roman" w:cs="Times New Roman"/>
        </w:rPr>
        <w:t>rawat</w:t>
      </w:r>
      <w:proofErr w:type="spellEnd"/>
      <w:r w:rsidRPr="00576AF6">
        <w:rPr>
          <w:rFonts w:ascii="Times New Roman" w:hAnsi="Times New Roman" w:cs="Times New Roman"/>
        </w:rPr>
        <w:t xml:space="preserve"> yang </w:t>
      </w:r>
      <w:proofErr w:type="spellStart"/>
      <w:r w:rsidRPr="00576AF6">
        <w:rPr>
          <w:rFonts w:ascii="Times New Roman" w:hAnsi="Times New Roman" w:cs="Times New Roman"/>
        </w:rPr>
        <w:t>lebih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panjang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biasanya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memiliki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kondisi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penyakit</w:t>
      </w:r>
      <w:proofErr w:type="spellEnd"/>
      <w:r w:rsidRPr="00576AF6">
        <w:rPr>
          <w:rFonts w:ascii="Times New Roman" w:hAnsi="Times New Roman" w:cs="Times New Roman"/>
        </w:rPr>
        <w:t xml:space="preserve"> yang </w:t>
      </w:r>
      <w:proofErr w:type="spellStart"/>
      <w:r w:rsidRPr="00576AF6">
        <w:rPr>
          <w:rFonts w:ascii="Times New Roman" w:hAnsi="Times New Roman" w:cs="Times New Roman"/>
        </w:rPr>
        <w:t>lebih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kompleks</w:t>
      </w:r>
      <w:proofErr w:type="spellEnd"/>
      <w:r w:rsidRPr="00576AF6">
        <w:rPr>
          <w:rFonts w:ascii="Times New Roman" w:hAnsi="Times New Roman" w:cs="Times New Roman"/>
        </w:rPr>
        <w:t xml:space="preserve">, yang </w:t>
      </w:r>
      <w:proofErr w:type="spellStart"/>
      <w:r w:rsidRPr="00576AF6">
        <w:rPr>
          <w:rFonts w:ascii="Times New Roman" w:hAnsi="Times New Roman" w:cs="Times New Roman"/>
        </w:rPr>
        <w:t>berpotensi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memerlukan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penggunaan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lebih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banyak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jenis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obat</w:t>
      </w:r>
      <w:proofErr w:type="spellEnd"/>
      <w:r w:rsidRPr="00576AF6">
        <w:rPr>
          <w:rFonts w:ascii="Times New Roman" w:hAnsi="Times New Roman" w:cs="Times New Roman"/>
        </w:rPr>
        <w:t xml:space="preserve">. Hal </w:t>
      </w:r>
      <w:proofErr w:type="spellStart"/>
      <w:r w:rsidRPr="00576AF6">
        <w:rPr>
          <w:rFonts w:ascii="Times New Roman" w:hAnsi="Times New Roman" w:cs="Times New Roman"/>
        </w:rPr>
        <w:t>ini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secara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tidak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langsung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dapat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meningkatkan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risiko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polifarmasi</w:t>
      </w:r>
      <w:proofErr w:type="spellEnd"/>
      <w:r w:rsidRPr="00576AF6">
        <w:rPr>
          <w:rFonts w:ascii="Times New Roman" w:hAnsi="Times New Roman" w:cs="Times New Roman"/>
        </w:rPr>
        <w:t xml:space="preserve"> dan </w:t>
      </w:r>
      <w:proofErr w:type="spellStart"/>
      <w:r w:rsidRPr="00576AF6">
        <w:rPr>
          <w:rFonts w:ascii="Times New Roman" w:hAnsi="Times New Roman" w:cs="Times New Roman"/>
        </w:rPr>
        <w:t>interaksi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obat</w:t>
      </w:r>
      <w:proofErr w:type="spellEnd"/>
      <w:r w:rsidRPr="00576AF6">
        <w:rPr>
          <w:rFonts w:ascii="Times New Roman" w:hAnsi="Times New Roman" w:cs="Times New Roman"/>
        </w:rPr>
        <w:t xml:space="preserve">, </w:t>
      </w:r>
      <w:proofErr w:type="spellStart"/>
      <w:r w:rsidRPr="00576AF6">
        <w:rPr>
          <w:rFonts w:ascii="Times New Roman" w:hAnsi="Times New Roman" w:cs="Times New Roman"/>
        </w:rPr>
        <w:t>sebagaimana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diperlihatkan</w:t>
      </w:r>
      <w:proofErr w:type="spellEnd"/>
      <w:r w:rsidRPr="00576AF6">
        <w:rPr>
          <w:rFonts w:ascii="Times New Roman" w:hAnsi="Times New Roman" w:cs="Times New Roman"/>
        </w:rPr>
        <w:t xml:space="preserve"> oleh </w:t>
      </w:r>
      <w:proofErr w:type="spellStart"/>
      <w:r w:rsidRPr="00576AF6">
        <w:rPr>
          <w:rFonts w:ascii="Times New Roman" w:hAnsi="Times New Roman" w:cs="Times New Roman"/>
        </w:rPr>
        <w:t>hubungan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positif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antara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kedua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variabel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tersebut</w:t>
      </w:r>
      <w:proofErr w:type="spellEnd"/>
      <w:r w:rsidRPr="00576AF6">
        <w:rPr>
          <w:rFonts w:ascii="Times New Roman" w:hAnsi="Times New Roman" w:cs="Times New Roman"/>
        </w:rPr>
        <w:t xml:space="preserve"> pada </w:t>
      </w:r>
      <w:proofErr w:type="spellStart"/>
      <w:r w:rsidRPr="00576AF6">
        <w:rPr>
          <w:rFonts w:ascii="Times New Roman" w:hAnsi="Times New Roman" w:cs="Times New Roman"/>
        </w:rPr>
        <w:t>hasil</w:t>
      </w:r>
      <w:proofErr w:type="spellEnd"/>
      <w:r w:rsidRPr="00576AF6">
        <w:rPr>
          <w:rFonts w:ascii="Times New Roman" w:hAnsi="Times New Roman" w:cs="Times New Roman"/>
        </w:rPr>
        <w:t xml:space="preserve"> uji </w:t>
      </w:r>
      <w:proofErr w:type="spellStart"/>
      <w:r w:rsidRPr="00576AF6">
        <w:rPr>
          <w:rFonts w:ascii="Times New Roman" w:hAnsi="Times New Roman" w:cs="Times New Roman"/>
        </w:rPr>
        <w:t>korelasi</w:t>
      </w:r>
      <w:proofErr w:type="spellEnd"/>
      <w:r w:rsidRPr="00576AF6">
        <w:rPr>
          <w:rFonts w:ascii="Times New Roman" w:hAnsi="Times New Roman" w:cs="Times New Roman"/>
        </w:rPr>
        <w:t xml:space="preserve"> </w:t>
      </w:r>
      <w:proofErr w:type="spellStart"/>
      <w:r w:rsidRPr="00576AF6">
        <w:rPr>
          <w:rFonts w:ascii="Times New Roman" w:hAnsi="Times New Roman" w:cs="Times New Roman"/>
        </w:rPr>
        <w:t>sebelumnya</w:t>
      </w:r>
      <w:proofErr w:type="spellEnd"/>
      <w:r w:rsidRPr="00576AF6">
        <w:rPr>
          <w:rFonts w:ascii="Times New Roman" w:hAnsi="Times New Roman" w:cs="Times New Roman"/>
        </w:rPr>
        <w:t>.</w:t>
      </w:r>
    </w:p>
    <w:p w14:paraId="6B0841FE" w14:textId="77777777" w:rsidR="00576AF6" w:rsidRDefault="00576AF6" w:rsidP="00CF37AE">
      <w:pPr>
        <w:rPr>
          <w:rFonts w:ascii="Times New Roman" w:hAnsi="Times New Roman" w:cs="Times New Roman"/>
          <w:b/>
          <w:bCs/>
        </w:rPr>
      </w:pPr>
    </w:p>
    <w:p w14:paraId="2E031B6B" w14:textId="77777777" w:rsidR="00576AF6" w:rsidRDefault="00576AF6" w:rsidP="00CF37AE">
      <w:pPr>
        <w:rPr>
          <w:rFonts w:ascii="Times New Roman" w:hAnsi="Times New Roman" w:cs="Times New Roman"/>
          <w:b/>
          <w:bCs/>
        </w:rPr>
      </w:pPr>
    </w:p>
    <w:p w14:paraId="4CC2999C" w14:textId="77777777" w:rsidR="00576AF6" w:rsidRDefault="00576AF6" w:rsidP="00CF37AE">
      <w:pPr>
        <w:rPr>
          <w:rFonts w:ascii="Times New Roman" w:hAnsi="Times New Roman" w:cs="Times New Roman"/>
          <w:b/>
          <w:bCs/>
        </w:rPr>
      </w:pPr>
    </w:p>
    <w:p w14:paraId="70457382" w14:textId="77777777" w:rsidR="00576AF6" w:rsidRDefault="00576AF6" w:rsidP="00CF37AE">
      <w:pPr>
        <w:rPr>
          <w:rFonts w:ascii="Times New Roman" w:hAnsi="Times New Roman" w:cs="Times New Roman"/>
          <w:b/>
          <w:bCs/>
        </w:rPr>
      </w:pPr>
    </w:p>
    <w:p w14:paraId="7E390EB5" w14:textId="77777777" w:rsidR="00576AF6" w:rsidRDefault="00576AF6" w:rsidP="00CF37AE">
      <w:pPr>
        <w:rPr>
          <w:rFonts w:ascii="Times New Roman" w:hAnsi="Times New Roman" w:cs="Times New Roman"/>
          <w:b/>
          <w:bCs/>
        </w:rPr>
      </w:pPr>
    </w:p>
    <w:p w14:paraId="17B1FEA6" w14:textId="77777777" w:rsidR="00576AF6" w:rsidRDefault="00576AF6" w:rsidP="00CF37AE">
      <w:pPr>
        <w:rPr>
          <w:rFonts w:ascii="Times New Roman" w:hAnsi="Times New Roman" w:cs="Times New Roman"/>
          <w:b/>
          <w:bCs/>
        </w:rPr>
      </w:pPr>
    </w:p>
    <w:p w14:paraId="14A3F465" w14:textId="77777777" w:rsidR="00576AF6" w:rsidRPr="00CF37AE" w:rsidRDefault="00576AF6" w:rsidP="00CF37AE">
      <w:pPr>
        <w:rPr>
          <w:rFonts w:ascii="Times New Roman" w:hAnsi="Times New Roman" w:cs="Times New Roman"/>
          <w:b/>
          <w:bCs/>
        </w:rPr>
      </w:pPr>
    </w:p>
    <w:sectPr w:rsidR="00576AF6" w:rsidRPr="00CF37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91297"/>
    <w:multiLevelType w:val="hybridMultilevel"/>
    <w:tmpl w:val="BE5C63C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405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7AE"/>
    <w:rsid w:val="000124F2"/>
    <w:rsid w:val="001C13A7"/>
    <w:rsid w:val="00576AF6"/>
    <w:rsid w:val="0084792D"/>
    <w:rsid w:val="009E72DE"/>
    <w:rsid w:val="00CF37AE"/>
    <w:rsid w:val="00D7456B"/>
    <w:rsid w:val="00E0798E"/>
    <w:rsid w:val="00ED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3367F"/>
  <w15:chartTrackingRefBased/>
  <w15:docId w15:val="{ED30D5F4-00DE-4FD7-B239-A73661C56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37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37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37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37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37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37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37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37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37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37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37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37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37A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37A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37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37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37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37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37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37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37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37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37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37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37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37A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37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37A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37AE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CF3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BTX LP0172</dc:creator>
  <cp:keywords/>
  <dc:description/>
  <cp:lastModifiedBy>BTX LP0172</cp:lastModifiedBy>
  <cp:revision>1</cp:revision>
  <dcterms:created xsi:type="dcterms:W3CDTF">2025-10-28T03:21:00Z</dcterms:created>
  <dcterms:modified xsi:type="dcterms:W3CDTF">2025-10-28T07:17:00Z</dcterms:modified>
</cp:coreProperties>
</file>